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p>
    <w:p>
      <w:pPr>
        <w:spacing w:after="100"/>
        <w:jc w:val="center"/>
      </w:pPr>
      <w:r>
        <w:rPr>
          <w:rFonts w:ascii="Calibri" w:hAnsi="Calibri" w:cs="Calibri"/>
          <w:b/>
          <w:color w:val="4F46E5"/>
          <w:sz w:val="18"/>
        </w:rPr>
        <w:t>REEVALS  •  PRÁVNE DOKUMENTY</w:t>
      </w:r>
    </w:p>
    <w:p>
      <w:pPr>
        <w:spacing w:after="160"/>
        <w:jc w:val="center"/>
      </w:pPr>
      <w:r>
        <w:rPr>
          <w:rFonts w:ascii="Calibri" w:hAnsi="Calibri" w:cs="Calibri"/>
          <w:b/>
          <w:color w:val="1A1A2E"/>
          <w:sz w:val="44"/>
        </w:rPr>
        <w:t>Zásady používania cookies</w:t>
      </w:r>
    </w:p>
    <w:p>
      <w:pPr>
        <w:spacing w:after="280"/>
        <w:jc w:val="center"/>
      </w:pPr>
      <w:r>
        <w:rPr>
          <w:rFonts w:ascii="Calibri" w:hAnsi="Calibri" w:cs="Calibri"/>
          <w:i/>
          <w:color w:val="666666"/>
          <w:sz w:val="20"/>
        </w:rPr>
        <w:t>Verzia 1.0  •  Účinnosť od 25. augusta 2026</w:t>
      </w:r>
    </w:p>
    <w:p>
      <w:pPr>
        <w:pStyle w:val="ReevalsCallout"/>
        <w:shd w:fill="F3F2FF"/>
        <w:pBdr>
          <w:top w:val="single" w:sz="6" w:space="5" w:color="A5A0F5"/>
          <w:left w:val="single" w:sz="6" w:space="5" w:color="A5A0F5"/>
          <w:bottom w:val="single" w:sz="6" w:space="5" w:color="A5A0F5"/>
          <w:right w:val="single" w:sz="6" w:space="5" w:color="A5A0F5"/>
        </w:pBdr>
        <w:jc w:val="left"/>
      </w:pPr>
      <w:r>
        <w:rPr>
          <w:rFonts w:ascii="Calibri" w:hAnsi="Calibri" w:cs="Calibri"/>
          <w:color w:val="1A1A2E"/>
          <w:sz w:val="20"/>
        </w:rPr>
        <w:t>Tieto zásady opisujú cookies a podobné technológie na webe a v službe Reevals. Vysvetľujú, ktoré technológie sú nevyhnutné, ktoré sú voliteľné a ako možno voľbu kedykoľvek zmeniť.</w:t>
      </w:r>
    </w:p>
    <w:p>
      <w:pPr>
        <w:pStyle w:val="Heading1"/>
      </w:pPr>
      <w:r>
        <w:rPr>
          <w:rFonts w:ascii="Calibri" w:hAnsi="Calibri" w:cs="Calibri"/>
          <w:b/>
          <w:color w:val="1A1A2E"/>
          <w:sz w:val="26"/>
        </w:rPr>
        <w:t>1. Kto používa cookies</w:t>
      </w:r>
    </w:p>
    <w:p>
      <w:pPr>
        <w:widowControl/>
        <w:jc w:val="both"/>
      </w:pPr>
      <w:r>
        <w:rPr>
          <w:rFonts w:ascii="Calibri" w:hAnsi="Calibri" w:cs="Calibri"/>
          <w:color w:val="1A1A2E"/>
          <w:sz w:val="21"/>
        </w:rPr>
        <w:t>Prevádzkovateľom webu a služby Reevals je CREALAB s.r.o., Terézie Vansovej 1167/1, 050 01 Revúca, Slovenská republika, IČO 50 156 896. Otázky môžete poslať na support@reevals.com.</w:t>
      </w:r>
    </w:p>
    <w:p>
      <w:pPr>
        <w:pStyle w:val="Heading1"/>
      </w:pPr>
      <w:r>
        <w:rPr>
          <w:rFonts w:ascii="Calibri" w:hAnsi="Calibri" w:cs="Calibri"/>
          <w:b/>
          <w:color w:val="1A1A2E"/>
          <w:sz w:val="26"/>
        </w:rPr>
        <w:t>2. Čo sú cookies a podobné technológie</w:t>
      </w:r>
    </w:p>
    <w:p>
      <w:pPr>
        <w:widowControl/>
        <w:jc w:val="both"/>
      </w:pPr>
      <w:r>
        <w:rPr>
          <w:rFonts w:ascii="Calibri" w:hAnsi="Calibri" w:cs="Calibri"/>
          <w:color w:val="1A1A2E"/>
          <w:sz w:val="21"/>
        </w:rPr>
        <w:t>Cookie je malý textový údaj uložený prehliadačom v zariadení. Podobným spôsobom môže fungovať localStorage, sessionStorage alebo iný identifikátor v prehliadači. V týchto zásadách ich spoločne označujeme ako technológie cookies, ak sa na ne uplatňuje rovnaká voľba používateľa.</w:t>
      </w:r>
    </w:p>
    <w:p>
      <w:pPr>
        <w:widowControl/>
        <w:jc w:val="both"/>
      </w:pPr>
      <w:r>
        <w:rPr>
          <w:rFonts w:ascii="Calibri" w:hAnsi="Calibri" w:cs="Calibri"/>
          <w:color w:val="1A1A2E"/>
          <w:sz w:val="21"/>
        </w:rPr>
        <w:t>Reláciové cookies sa spravidla vymažú po zatvorení prehliadača. Trvalé cookies zostanú do uplynutia ich životnosti, vymazania používateľom alebo nahradenia novou voľbou.</w:t>
      </w:r>
    </w:p>
    <w:p>
      <w:pPr>
        <w:pStyle w:val="Heading1"/>
      </w:pPr>
      <w:r>
        <w:rPr>
          <w:rFonts w:ascii="Calibri" w:hAnsi="Calibri" w:cs="Calibri"/>
          <w:b/>
          <w:color w:val="1A1A2E"/>
          <w:sz w:val="26"/>
        </w:rPr>
        <w:t>3. Aktuálny stav merania</w:t>
      </w:r>
    </w:p>
    <w:p>
      <w:pPr>
        <w:pStyle w:val="ReevalsCallout"/>
        <w:shd w:fill="F3F2FF"/>
        <w:pBdr>
          <w:top w:val="single" w:sz="6" w:space="5" w:color="A5A0F5"/>
          <w:left w:val="single" w:sz="6" w:space="5" w:color="A5A0F5"/>
          <w:bottom w:val="single" w:sz="6" w:space="5" w:color="A5A0F5"/>
          <w:right w:val="single" w:sz="6" w:space="5" w:color="A5A0F5"/>
        </w:pBdr>
        <w:jc w:val="left"/>
      </w:pPr>
      <w:r>
        <w:rPr>
          <w:rFonts w:ascii="Calibri" w:hAnsi="Calibri" w:cs="Calibri"/>
          <w:color w:val="1A1A2E"/>
          <w:sz w:val="20"/>
        </w:rPr>
        <w:t>V deň účinnosti týchto zásad nemá verejný web Reevals nasadený Google Tag Manager, Google Analytics 4 ani porovnateľný marketingový alebo analytický tracker. Cookie lišta je pripravená aj pre budúce voliteľné nástroje, ale bez príslušného súhlasu ich technicky nenačíta.</w:t>
      </w:r>
    </w:p>
    <w:p>
      <w:pPr>
        <w:widowControl/>
        <w:jc w:val="both"/>
      </w:pPr>
      <w:r>
        <w:rPr>
          <w:rFonts w:ascii="Calibri" w:hAnsi="Calibri" w:cs="Calibri"/>
          <w:color w:val="1A1A2E"/>
          <w:sz w:val="21"/>
        </w:rPr>
        <w:t>Ak v budúcnosti pridáme analytický alebo marketingový nástroj, pred jeho aktiváciou doplníme konkrétny názov, poskytovateľa, účel, dobu životnosti a informáciu o prenose údajov. Existujúcich návštevníkov požiadame o novú voľbu, ak sa zmení účel alebo rozsah.</w:t>
      </w:r>
    </w:p>
    <w:p>
      <w:pPr>
        <w:pStyle w:val="Heading1"/>
      </w:pPr>
      <w:r>
        <w:rPr>
          <w:rFonts w:ascii="Calibri" w:hAnsi="Calibri" w:cs="Calibri"/>
          <w:b/>
          <w:color w:val="1A1A2E"/>
          <w:sz w:val="26"/>
        </w:rPr>
        <w:t>4. Kategórie</w:t>
      </w:r>
    </w:p>
    <w:tbl>
      <w:tblPr>
        <w:tblStyle w:val="TableGrid"/>
        <w:tblW w:type="dxa" w:w="8440"/>
        <w:jc w:val="center"/>
        <w:tblLayout w:type="fixed"/>
        <w:tblLook w:firstColumn="1" w:firstRow="1" w:lastColumn="0" w:lastRow="0" w:noHBand="0" w:noVBand="1" w:val="04A0"/>
      </w:tblPr>
      <w:tblGrid>
        <w:gridCol w:w="2000"/>
        <w:gridCol w:w="3100"/>
        <w:gridCol w:w="3340"/>
      </w:tblGrid>
      <w:tr>
        <w:trPr>
          <w:tblHeader w:val="true"/>
          <w:cantSplit/>
        </w:trPr>
        <w:tc>
          <w:tcPr>
            <w:tcW w:type="dxa" w:w="2000"/>
            <w:vAlign w:val="center"/>
            <w:shd w:fill="29275A"/>
            <w:tcMar>
              <w:top w:w="80" w:type="dxa"/>
              <w:start w:w="90" w:type="dxa"/>
              <w:bottom w:w="80" w:type="dxa"/>
              <w:end w:w="90" w:type="dxa"/>
            </w:tcMar>
          </w:tcPr>
          <w:p>
            <w:pPr>
              <w:spacing w:after="0"/>
            </w:pPr>
            <w:r>
              <w:rPr>
                <w:rFonts w:ascii="Calibri" w:hAnsi="Calibri" w:cs="Calibri"/>
                <w:b/>
                <w:color w:val="FFFFFF"/>
                <w:sz w:val="16"/>
              </w:rPr>
              <w:t>Kategória</w:t>
            </w:r>
          </w:p>
        </w:tc>
        <w:tc>
          <w:tcPr>
            <w:tcW w:type="dxa" w:w="3100"/>
            <w:vAlign w:val="center"/>
            <w:shd w:fill="29275A"/>
            <w:tcMar>
              <w:top w:w="80" w:type="dxa"/>
              <w:start w:w="90" w:type="dxa"/>
              <w:bottom w:w="80" w:type="dxa"/>
              <w:end w:w="90" w:type="dxa"/>
            </w:tcMar>
          </w:tcPr>
          <w:p>
            <w:pPr>
              <w:spacing w:after="0"/>
            </w:pPr>
            <w:r>
              <w:rPr>
                <w:rFonts w:ascii="Calibri" w:hAnsi="Calibri" w:cs="Calibri"/>
                <w:b/>
                <w:color w:val="FFFFFF"/>
                <w:sz w:val="16"/>
              </w:rPr>
              <w:t>Účel</w:t>
            </w:r>
          </w:p>
        </w:tc>
        <w:tc>
          <w:tcPr>
            <w:tcW w:type="dxa" w:w="3340"/>
            <w:vAlign w:val="center"/>
            <w:shd w:fill="29275A"/>
            <w:tcMar>
              <w:top w:w="80" w:type="dxa"/>
              <w:start w:w="90" w:type="dxa"/>
              <w:bottom w:w="80" w:type="dxa"/>
              <w:end w:w="90" w:type="dxa"/>
            </w:tcMar>
          </w:tcPr>
          <w:p>
            <w:pPr>
              <w:spacing w:after="0"/>
            </w:pPr>
            <w:r>
              <w:rPr>
                <w:rFonts w:ascii="Calibri" w:hAnsi="Calibri" w:cs="Calibri"/>
                <w:b/>
                <w:color w:val="FFFFFF"/>
                <w:sz w:val="16"/>
              </w:rPr>
              <w:t>Predvolený stav</w:t>
            </w:r>
          </w:p>
        </w:tc>
      </w:tr>
      <w:tr>
        <w:trPr>
          <w:cantSplit/>
        </w:trPr>
        <w:tc>
          <w:tcPr>
            <w:tcW w:type="dxa" w:w="2000"/>
            <w:vAlign w:val="top"/>
            <w:tcMar>
              <w:top w:w="80" w:type="dxa"/>
              <w:start w:w="90" w:type="dxa"/>
              <w:bottom w:w="80" w:type="dxa"/>
              <w:end w:w="90" w:type="dxa"/>
            </w:tcMar>
          </w:tcPr>
          <w:p>
            <w:pPr>
              <w:spacing w:after="0" w:line="252" w:lineRule="auto"/>
            </w:pPr>
            <w:r>
              <w:rPr>
                <w:rFonts w:ascii="Calibri" w:hAnsi="Calibri" w:cs="Calibri"/>
                <w:color w:val="1A1A2E"/>
                <w:sz w:val="16"/>
              </w:rPr>
              <w:t>Nevyhnutné</w:t>
            </w:r>
          </w:p>
        </w:tc>
        <w:tc>
          <w:tcPr>
            <w:tcW w:type="dxa" w:w="3100"/>
            <w:vAlign w:val="top"/>
            <w:tcMar>
              <w:top w:w="80" w:type="dxa"/>
              <w:start w:w="90" w:type="dxa"/>
              <w:bottom w:w="80" w:type="dxa"/>
              <w:end w:w="90" w:type="dxa"/>
            </w:tcMar>
          </w:tcPr>
          <w:p>
            <w:pPr>
              <w:spacing w:after="0" w:line="252" w:lineRule="auto"/>
            </w:pPr>
            <w:r>
              <w:rPr>
                <w:rFonts w:ascii="Calibri" w:hAnsi="Calibri" w:cs="Calibri"/>
                <w:color w:val="1A1A2E"/>
                <w:sz w:val="16"/>
              </w:rPr>
              <w:t>Bezpečná relácia, prihlásenie, ochrana formulárov, uloženie voľby cookies a funkcia výslovne vyžiadaná používateľom.</w:t>
            </w:r>
          </w:p>
        </w:tc>
        <w:tc>
          <w:tcPr>
            <w:tcW w:type="dxa" w:w="3340"/>
            <w:vAlign w:val="top"/>
            <w:tcMar>
              <w:top w:w="80" w:type="dxa"/>
              <w:start w:w="90" w:type="dxa"/>
              <w:bottom w:w="80" w:type="dxa"/>
              <w:end w:w="90" w:type="dxa"/>
            </w:tcMar>
          </w:tcPr>
          <w:p>
            <w:pPr>
              <w:spacing w:after="0" w:line="252" w:lineRule="auto"/>
            </w:pPr>
            <w:r>
              <w:rPr>
                <w:rFonts w:ascii="Calibri" w:hAnsi="Calibri" w:cs="Calibri"/>
                <w:color w:val="1A1A2E"/>
                <w:sz w:val="16"/>
              </w:rPr>
              <w:t>Vždy aktívne. Bez nich nemusí web alebo účet fungovať.</w:t>
            </w:r>
          </w:p>
        </w:tc>
      </w:tr>
      <w:tr>
        <w:trPr>
          <w:cantSplit/>
        </w:trPr>
        <w:tc>
          <w:tcPr>
            <w:tcW w:type="dxa" w:w="20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Preferenčné</w:t>
            </w:r>
          </w:p>
        </w:tc>
        <w:tc>
          <w:tcPr>
            <w:tcW w:type="dxa" w:w="31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Zapamätanie voliteľného vzhľadu, jazyka alebo iného pohodlného nastavenia nad rámec jednej relácie.</w:t>
            </w:r>
          </w:p>
        </w:tc>
        <w:tc>
          <w:tcPr>
            <w:tcW w:type="dxa" w:w="33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Vypnuté, kým ich používateľ nepovolí.</w:t>
            </w:r>
          </w:p>
        </w:tc>
      </w:tr>
      <w:tr>
        <w:trPr>
          <w:cantSplit/>
        </w:trPr>
        <w:tc>
          <w:tcPr>
            <w:tcW w:type="dxa" w:w="2000"/>
            <w:vAlign w:val="top"/>
            <w:tcMar>
              <w:top w:w="80" w:type="dxa"/>
              <w:start w:w="90" w:type="dxa"/>
              <w:bottom w:w="80" w:type="dxa"/>
              <w:end w:w="90" w:type="dxa"/>
            </w:tcMar>
          </w:tcPr>
          <w:p>
            <w:pPr>
              <w:spacing w:after="0" w:line="252" w:lineRule="auto"/>
            </w:pPr>
            <w:r>
              <w:rPr>
                <w:rFonts w:ascii="Calibri" w:hAnsi="Calibri" w:cs="Calibri"/>
                <w:color w:val="1A1A2E"/>
                <w:sz w:val="16"/>
              </w:rPr>
              <w:t>Analytické</w:t>
            </w:r>
          </w:p>
        </w:tc>
        <w:tc>
          <w:tcPr>
            <w:tcW w:type="dxa" w:w="3100"/>
            <w:vAlign w:val="top"/>
            <w:tcMar>
              <w:top w:w="80" w:type="dxa"/>
              <w:start w:w="90" w:type="dxa"/>
              <w:bottom w:w="80" w:type="dxa"/>
              <w:end w:w="90" w:type="dxa"/>
            </w:tcMar>
          </w:tcPr>
          <w:p>
            <w:pPr>
              <w:spacing w:after="0" w:line="252" w:lineRule="auto"/>
            </w:pPr>
            <w:r>
              <w:rPr>
                <w:rFonts w:ascii="Calibri" w:hAnsi="Calibri" w:cs="Calibri"/>
                <w:color w:val="1A1A2E"/>
                <w:sz w:val="16"/>
              </w:rPr>
              <w:t>Meranie návštevnosti a používania webu na zlepšovanie obsahu a výkonu.</w:t>
            </w:r>
          </w:p>
        </w:tc>
        <w:tc>
          <w:tcPr>
            <w:tcW w:type="dxa" w:w="3340"/>
            <w:vAlign w:val="top"/>
            <w:tcMar>
              <w:top w:w="80" w:type="dxa"/>
              <w:start w:w="90" w:type="dxa"/>
              <w:bottom w:w="80" w:type="dxa"/>
              <w:end w:w="90" w:type="dxa"/>
            </w:tcMar>
          </w:tcPr>
          <w:p>
            <w:pPr>
              <w:spacing w:after="0" w:line="252" w:lineRule="auto"/>
            </w:pPr>
            <w:r>
              <w:rPr>
                <w:rFonts w:ascii="Calibri" w:hAnsi="Calibri" w:cs="Calibri"/>
                <w:color w:val="1A1A2E"/>
                <w:sz w:val="16"/>
              </w:rPr>
              <w:t>Vypnuté, kým ich používateľ nepovolí. Aktuálne nie je nasadený žiadny analytický tracker.</w:t>
            </w:r>
          </w:p>
        </w:tc>
      </w:tr>
      <w:tr>
        <w:trPr>
          <w:cantSplit/>
        </w:trPr>
        <w:tc>
          <w:tcPr>
            <w:tcW w:type="dxa" w:w="20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Marketingové</w:t>
            </w:r>
          </w:p>
        </w:tc>
        <w:tc>
          <w:tcPr>
            <w:tcW w:type="dxa" w:w="31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Meranie kampaní, personalizácia marketingu alebo prepájanie návštev medzi webmi.</w:t>
            </w:r>
          </w:p>
        </w:tc>
        <w:tc>
          <w:tcPr>
            <w:tcW w:type="dxa" w:w="33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Vypnuté, kým ich používateľ nepovolí. Aktuálne nie je nasadený žiadny marketingový tracker.</w:t>
            </w:r>
          </w:p>
        </w:tc>
      </w:tr>
    </w:tbl>
    <w:p>
      <w:pPr>
        <w:spacing w:after="40"/>
      </w:pPr>
    </w:p>
    <w:p>
      <w:pPr>
        <w:pStyle w:val="Heading1"/>
      </w:pPr>
      <w:r>
        <w:rPr>
          <w:rFonts w:ascii="Calibri" w:hAnsi="Calibri" w:cs="Calibri"/>
          <w:b/>
          <w:color w:val="1A1A2E"/>
          <w:sz w:val="26"/>
        </w:rPr>
        <w:t>5. Aktuálny zoznam technológií</w:t>
      </w:r>
    </w:p>
    <w:tbl>
      <w:tblPr>
        <w:tblStyle w:val="TableGrid"/>
        <w:tblW w:type="dxa" w:w="8440"/>
        <w:jc w:val="center"/>
        <w:tblLayout w:type="fixed"/>
        <w:tblLook w:firstColumn="1" w:firstRow="1" w:lastColumn="0" w:lastRow="0" w:noHBand="0" w:noVBand="1" w:val="04A0"/>
      </w:tblPr>
      <w:tblGrid>
        <w:gridCol w:w="1300"/>
        <w:gridCol w:w="1550"/>
        <w:gridCol w:w="1150"/>
        <w:gridCol w:w="2900"/>
        <w:gridCol w:w="1540"/>
      </w:tblGrid>
      <w:tr>
        <w:trPr>
          <w:tblHeader w:val="true"/>
          <w:cantSplit/>
        </w:trPr>
        <w:tc>
          <w:tcPr>
            <w:tcW w:type="dxa" w:w="1300"/>
            <w:vAlign w:val="center"/>
            <w:shd w:fill="29275A"/>
            <w:tcMar>
              <w:top w:w="80" w:type="dxa"/>
              <w:start w:w="90" w:type="dxa"/>
              <w:bottom w:w="80" w:type="dxa"/>
              <w:end w:w="90" w:type="dxa"/>
            </w:tcMar>
          </w:tcPr>
          <w:p>
            <w:pPr>
              <w:spacing w:after="0"/>
            </w:pPr>
            <w:r>
              <w:rPr>
                <w:rFonts w:ascii="Calibri" w:hAnsi="Calibri" w:cs="Calibri"/>
                <w:b/>
                <w:color w:val="FFFFFF"/>
                <w:sz w:val="16"/>
              </w:rPr>
              <w:t>Názov</w:t>
            </w:r>
          </w:p>
        </w:tc>
        <w:tc>
          <w:tcPr>
            <w:tcW w:type="dxa" w:w="1550"/>
            <w:vAlign w:val="center"/>
            <w:shd w:fill="29275A"/>
            <w:tcMar>
              <w:top w:w="80" w:type="dxa"/>
              <w:start w:w="90" w:type="dxa"/>
              <w:bottom w:w="80" w:type="dxa"/>
              <w:end w:w="90" w:type="dxa"/>
            </w:tcMar>
          </w:tcPr>
          <w:p>
            <w:pPr>
              <w:spacing w:after="0"/>
            </w:pPr>
            <w:r>
              <w:rPr>
                <w:rFonts w:ascii="Calibri" w:hAnsi="Calibri" w:cs="Calibri"/>
                <w:b/>
                <w:color w:val="FFFFFF"/>
                <w:sz w:val="16"/>
              </w:rPr>
              <w:t>Typ a poskytovateľ</w:t>
            </w:r>
          </w:p>
        </w:tc>
        <w:tc>
          <w:tcPr>
            <w:tcW w:type="dxa" w:w="1150"/>
            <w:vAlign w:val="center"/>
            <w:shd w:fill="29275A"/>
            <w:tcMar>
              <w:top w:w="80" w:type="dxa"/>
              <w:start w:w="90" w:type="dxa"/>
              <w:bottom w:w="80" w:type="dxa"/>
              <w:end w:w="90" w:type="dxa"/>
            </w:tcMar>
          </w:tcPr>
          <w:p>
            <w:pPr>
              <w:spacing w:after="0"/>
            </w:pPr>
            <w:r>
              <w:rPr>
                <w:rFonts w:ascii="Calibri" w:hAnsi="Calibri" w:cs="Calibri"/>
                <w:b/>
                <w:color w:val="FFFFFF"/>
                <w:sz w:val="16"/>
              </w:rPr>
              <w:t>Kategória</w:t>
            </w:r>
          </w:p>
        </w:tc>
        <w:tc>
          <w:tcPr>
            <w:tcW w:type="dxa" w:w="2900"/>
            <w:vAlign w:val="center"/>
            <w:shd w:fill="29275A"/>
            <w:tcMar>
              <w:top w:w="80" w:type="dxa"/>
              <w:start w:w="90" w:type="dxa"/>
              <w:bottom w:w="80" w:type="dxa"/>
              <w:end w:w="90" w:type="dxa"/>
            </w:tcMar>
          </w:tcPr>
          <w:p>
            <w:pPr>
              <w:spacing w:after="0"/>
            </w:pPr>
            <w:r>
              <w:rPr>
                <w:rFonts w:ascii="Calibri" w:hAnsi="Calibri" w:cs="Calibri"/>
                <w:b/>
                <w:color w:val="FFFFFF"/>
                <w:sz w:val="16"/>
              </w:rPr>
              <w:t>Účel</w:t>
            </w:r>
          </w:p>
        </w:tc>
        <w:tc>
          <w:tcPr>
            <w:tcW w:type="dxa" w:w="1540"/>
            <w:vAlign w:val="center"/>
            <w:shd w:fill="29275A"/>
            <w:tcMar>
              <w:top w:w="80" w:type="dxa"/>
              <w:start w:w="90" w:type="dxa"/>
              <w:bottom w:w="80" w:type="dxa"/>
              <w:end w:w="90" w:type="dxa"/>
            </w:tcMar>
          </w:tcPr>
          <w:p>
            <w:pPr>
              <w:spacing w:after="0"/>
            </w:pPr>
            <w:r>
              <w:rPr>
                <w:rFonts w:ascii="Calibri" w:hAnsi="Calibri" w:cs="Calibri"/>
                <w:b/>
                <w:color w:val="FFFFFF"/>
                <w:sz w:val="16"/>
              </w:rPr>
              <w:t>Životnosť</w:t>
            </w:r>
          </w:p>
        </w:tc>
      </w:tr>
      <w:tr>
        <w:trPr>
          <w:cantSplit/>
        </w:trPr>
        <w:tc>
          <w:tcPr>
            <w:tcW w:type="dxa" w:w="1300"/>
            <w:vAlign w:val="top"/>
            <w:tcMar>
              <w:top w:w="80" w:type="dxa"/>
              <w:start w:w="90" w:type="dxa"/>
              <w:bottom w:w="80" w:type="dxa"/>
              <w:end w:w="90" w:type="dxa"/>
            </w:tcMar>
          </w:tcPr>
          <w:p>
            <w:pPr>
              <w:spacing w:after="0" w:line="252" w:lineRule="auto"/>
            </w:pPr>
            <w:r>
              <w:rPr>
                <w:rFonts w:ascii="Calibri" w:hAnsi="Calibri" w:cs="Calibri"/>
                <w:color w:val="1A1A2E"/>
                <w:sz w:val="16"/>
              </w:rPr>
              <w:t>PHPSESSID alebo názov relácie určený prostredím</w:t>
            </w:r>
          </w:p>
        </w:tc>
        <w:tc>
          <w:tcPr>
            <w:tcW w:type="dxa" w:w="1550"/>
            <w:vAlign w:val="top"/>
            <w:tcMar>
              <w:top w:w="80" w:type="dxa"/>
              <w:start w:w="90" w:type="dxa"/>
              <w:bottom w:w="80" w:type="dxa"/>
              <w:end w:w="90" w:type="dxa"/>
            </w:tcMar>
          </w:tcPr>
          <w:p>
            <w:pPr>
              <w:spacing w:after="0" w:line="252" w:lineRule="auto"/>
            </w:pPr>
            <w:r>
              <w:rPr>
                <w:rFonts w:ascii="Calibri" w:hAnsi="Calibri" w:cs="Calibri"/>
                <w:color w:val="1A1A2E"/>
                <w:sz w:val="16"/>
              </w:rPr>
              <w:t>Cookie prvej strany, CREALAB</w:t>
            </w:r>
          </w:p>
        </w:tc>
        <w:tc>
          <w:tcPr>
            <w:tcW w:type="dxa" w:w="1150"/>
            <w:vAlign w:val="top"/>
            <w:tcMar>
              <w:top w:w="80" w:type="dxa"/>
              <w:start w:w="90" w:type="dxa"/>
              <w:bottom w:w="80" w:type="dxa"/>
              <w:end w:w="90" w:type="dxa"/>
            </w:tcMar>
          </w:tcPr>
          <w:p>
            <w:pPr>
              <w:spacing w:after="0" w:line="252" w:lineRule="auto"/>
            </w:pPr>
            <w:r>
              <w:rPr>
                <w:rFonts w:ascii="Calibri" w:hAnsi="Calibri" w:cs="Calibri"/>
                <w:color w:val="1A1A2E"/>
                <w:sz w:val="16"/>
              </w:rPr>
              <w:t>Nevyhnutné</w:t>
            </w:r>
          </w:p>
        </w:tc>
        <w:tc>
          <w:tcPr>
            <w:tcW w:type="dxa" w:w="2900"/>
            <w:vAlign w:val="top"/>
            <w:tcMar>
              <w:top w:w="80" w:type="dxa"/>
              <w:start w:w="90" w:type="dxa"/>
              <w:bottom w:w="80" w:type="dxa"/>
              <w:end w:w="90" w:type="dxa"/>
            </w:tcMar>
          </w:tcPr>
          <w:p>
            <w:pPr>
              <w:spacing w:after="0" w:line="252" w:lineRule="auto"/>
            </w:pPr>
            <w:r>
              <w:rPr>
                <w:rFonts w:ascii="Calibri" w:hAnsi="Calibri" w:cs="Calibri"/>
                <w:color w:val="1A1A2E"/>
                <w:sz w:val="16"/>
              </w:rPr>
              <w:t>Udržanie bezpečnej relácie, prihlásenia a ochrany formulárov.</w:t>
            </w:r>
          </w:p>
        </w:tc>
        <w:tc>
          <w:tcPr>
            <w:tcW w:type="dxa" w:w="1540"/>
            <w:vAlign w:val="top"/>
            <w:tcMar>
              <w:top w:w="80" w:type="dxa"/>
              <w:start w:w="90" w:type="dxa"/>
              <w:bottom w:w="80" w:type="dxa"/>
              <w:end w:w="90" w:type="dxa"/>
            </w:tcMar>
          </w:tcPr>
          <w:p>
            <w:pPr>
              <w:spacing w:after="0" w:line="252" w:lineRule="auto"/>
            </w:pPr>
            <w:r>
              <w:rPr>
                <w:rFonts w:ascii="Calibri" w:hAnsi="Calibri" w:cs="Calibri"/>
                <w:color w:val="1A1A2E"/>
                <w:sz w:val="16"/>
              </w:rPr>
              <w:t>Relácia prehliadača alebo lehota serverovej relácie.</w:t>
            </w:r>
          </w:p>
        </w:tc>
      </w:tr>
      <w:tr>
        <w:trPr>
          <w:cantSplit/>
        </w:trPr>
        <w:tc>
          <w:tcPr>
            <w:tcW w:type="dxa" w:w="13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REMEMBERME</w:t>
            </w:r>
          </w:p>
        </w:tc>
        <w:tc>
          <w:tcPr>
            <w:tcW w:type="dxa" w:w="155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Cookie prvej strany, CREALAB</w:t>
            </w:r>
          </w:p>
        </w:tc>
        <w:tc>
          <w:tcPr>
            <w:tcW w:type="dxa" w:w="115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Nevyhnutné po výslovnej voľbe</w:t>
            </w:r>
          </w:p>
        </w:tc>
        <w:tc>
          <w:tcPr>
            <w:tcW w:type="dxa" w:w="29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Zapamätanie prihlásenia, iba ak používateľ vyberie možnosť zapamätať prihlásenie.</w:t>
            </w:r>
          </w:p>
        </w:tc>
        <w:tc>
          <w:tcPr>
            <w:tcW w:type="dxa" w:w="15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30 dní.</w:t>
            </w:r>
          </w:p>
        </w:tc>
      </w:tr>
      <w:tr>
        <w:trPr>
          <w:cantSplit/>
        </w:trPr>
        <w:tc>
          <w:tcPr>
            <w:tcW w:type="dxa" w:w="1300"/>
            <w:vAlign w:val="top"/>
            <w:tcMar>
              <w:top w:w="80" w:type="dxa"/>
              <w:start w:w="90" w:type="dxa"/>
              <w:bottom w:w="80" w:type="dxa"/>
              <w:end w:w="90" w:type="dxa"/>
            </w:tcMar>
          </w:tcPr>
          <w:p>
            <w:pPr>
              <w:spacing w:after="0" w:line="252" w:lineRule="auto"/>
            </w:pPr>
            <w:r>
              <w:rPr>
                <w:rFonts w:ascii="Calibri" w:hAnsi="Calibri" w:cs="Calibri"/>
                <w:color w:val="1A1A2E"/>
                <w:sz w:val="16"/>
              </w:rPr>
              <w:t>reevals_cookie_consent</w:t>
            </w:r>
          </w:p>
        </w:tc>
        <w:tc>
          <w:tcPr>
            <w:tcW w:type="dxa" w:w="1550"/>
            <w:vAlign w:val="top"/>
            <w:tcMar>
              <w:top w:w="80" w:type="dxa"/>
              <w:start w:w="90" w:type="dxa"/>
              <w:bottom w:w="80" w:type="dxa"/>
              <w:end w:w="90" w:type="dxa"/>
            </w:tcMar>
          </w:tcPr>
          <w:p>
            <w:pPr>
              <w:spacing w:after="0" w:line="252" w:lineRule="auto"/>
            </w:pPr>
            <w:r>
              <w:rPr>
                <w:rFonts w:ascii="Calibri" w:hAnsi="Calibri" w:cs="Calibri"/>
                <w:color w:val="1A1A2E"/>
                <w:sz w:val="16"/>
              </w:rPr>
              <w:t>Cookie prvej strany, CREALAB</w:t>
            </w:r>
          </w:p>
        </w:tc>
        <w:tc>
          <w:tcPr>
            <w:tcW w:type="dxa" w:w="1150"/>
            <w:vAlign w:val="top"/>
            <w:tcMar>
              <w:top w:w="80" w:type="dxa"/>
              <w:start w:w="90" w:type="dxa"/>
              <w:bottom w:w="80" w:type="dxa"/>
              <w:end w:w="90" w:type="dxa"/>
            </w:tcMar>
          </w:tcPr>
          <w:p>
            <w:pPr>
              <w:spacing w:after="0" w:line="252" w:lineRule="auto"/>
            </w:pPr>
            <w:r>
              <w:rPr>
                <w:rFonts w:ascii="Calibri" w:hAnsi="Calibri" w:cs="Calibri"/>
                <w:color w:val="1A1A2E"/>
                <w:sz w:val="16"/>
              </w:rPr>
              <w:t>Nevyhnutné</w:t>
            </w:r>
          </w:p>
        </w:tc>
        <w:tc>
          <w:tcPr>
            <w:tcW w:type="dxa" w:w="2900"/>
            <w:vAlign w:val="top"/>
            <w:tcMar>
              <w:top w:w="80" w:type="dxa"/>
              <w:start w:w="90" w:type="dxa"/>
              <w:bottom w:w="80" w:type="dxa"/>
              <w:end w:w="90" w:type="dxa"/>
            </w:tcMar>
          </w:tcPr>
          <w:p>
            <w:pPr>
              <w:spacing w:after="0" w:line="252" w:lineRule="auto"/>
            </w:pPr>
            <w:r>
              <w:rPr>
                <w:rFonts w:ascii="Calibri" w:hAnsi="Calibri" w:cs="Calibri"/>
                <w:color w:val="1A1A2E"/>
                <w:sz w:val="16"/>
              </w:rPr>
              <w:t>Uloženie verzie a kategórií zvolených v cookie lište, aby sa voľba nemusela opakovať pri každej návšteve.</w:t>
            </w:r>
          </w:p>
        </w:tc>
        <w:tc>
          <w:tcPr>
            <w:tcW w:type="dxa" w:w="1540"/>
            <w:vAlign w:val="top"/>
            <w:tcMar>
              <w:top w:w="80" w:type="dxa"/>
              <w:start w:w="90" w:type="dxa"/>
              <w:bottom w:w="80" w:type="dxa"/>
              <w:end w:w="90" w:type="dxa"/>
            </w:tcMar>
          </w:tcPr>
          <w:p>
            <w:pPr>
              <w:spacing w:after="0" w:line="252" w:lineRule="auto"/>
            </w:pPr>
            <w:r>
              <w:rPr>
                <w:rFonts w:ascii="Calibri" w:hAnsi="Calibri" w:cs="Calibri"/>
                <w:color w:val="1A1A2E"/>
                <w:sz w:val="16"/>
              </w:rPr>
              <w:t>180 dní.</w:t>
            </w:r>
          </w:p>
        </w:tc>
      </w:tr>
      <w:tr>
        <w:trPr>
          <w:cantSplit/>
        </w:trPr>
        <w:tc>
          <w:tcPr>
            <w:tcW w:type="dxa" w:w="13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reevals-v2-theme</w:t>
            </w:r>
          </w:p>
        </w:tc>
        <w:tc>
          <w:tcPr>
            <w:tcW w:type="dxa" w:w="155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localStorage prvej strany, CREALAB</w:t>
            </w:r>
          </w:p>
        </w:tc>
        <w:tc>
          <w:tcPr>
            <w:tcW w:type="dxa" w:w="115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Preferenčné</w:t>
            </w:r>
          </w:p>
        </w:tc>
        <w:tc>
          <w:tcPr>
            <w:tcW w:type="dxa" w:w="29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Zapamätanie svetlého alebo tmavého vzhľadu medzi návštevami.</w:t>
            </w:r>
          </w:p>
        </w:tc>
        <w:tc>
          <w:tcPr>
            <w:tcW w:type="dxa" w:w="15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Najviac 180 dní alebo do zmeny či odmietnutia preferenčných technológií.</w:t>
            </w:r>
          </w:p>
        </w:tc>
      </w:tr>
      <w:tr>
        <w:trPr>
          <w:cantSplit/>
        </w:trPr>
        <w:tc>
          <w:tcPr>
            <w:tcW w:type="dxa" w:w="1300"/>
            <w:vAlign w:val="top"/>
            <w:tcMar>
              <w:top w:w="80" w:type="dxa"/>
              <w:start w:w="90" w:type="dxa"/>
              <w:bottom w:w="80" w:type="dxa"/>
              <w:end w:w="90" w:type="dxa"/>
            </w:tcMar>
          </w:tcPr>
          <w:p>
            <w:pPr>
              <w:spacing w:after="0" w:line="252" w:lineRule="auto"/>
            </w:pPr>
            <w:r>
              <w:rPr>
                <w:rFonts w:ascii="Calibri" w:hAnsi="Calibri" w:cs="Calibri"/>
                <w:color w:val="1A1A2E"/>
                <w:sz w:val="16"/>
              </w:rPr>
              <w:t>Analytické identifikátory</w:t>
            </w:r>
          </w:p>
        </w:tc>
        <w:tc>
          <w:tcPr>
            <w:tcW w:type="dxa" w:w="1550"/>
            <w:vAlign w:val="top"/>
            <w:tcMar>
              <w:top w:w="80" w:type="dxa"/>
              <w:start w:w="90" w:type="dxa"/>
              <w:bottom w:w="80" w:type="dxa"/>
              <w:end w:w="90" w:type="dxa"/>
            </w:tcMar>
          </w:tcPr>
          <w:p>
            <w:pPr>
              <w:spacing w:after="0" w:line="252" w:lineRule="auto"/>
            </w:pPr>
            <w:r>
              <w:rPr>
                <w:rFonts w:ascii="Calibri" w:hAnsi="Calibri" w:cs="Calibri"/>
                <w:color w:val="1A1A2E"/>
                <w:sz w:val="16"/>
              </w:rPr>
              <w:t>Zatiaľ sa nepoužívajú</w:t>
            </w:r>
          </w:p>
        </w:tc>
        <w:tc>
          <w:tcPr>
            <w:tcW w:type="dxa" w:w="1150"/>
            <w:vAlign w:val="top"/>
            <w:tcMar>
              <w:top w:w="80" w:type="dxa"/>
              <w:start w:w="90" w:type="dxa"/>
              <w:bottom w:w="80" w:type="dxa"/>
              <w:end w:w="90" w:type="dxa"/>
            </w:tcMar>
          </w:tcPr>
          <w:p>
            <w:pPr>
              <w:spacing w:after="0" w:line="252" w:lineRule="auto"/>
            </w:pPr>
            <w:r>
              <w:rPr>
                <w:rFonts w:ascii="Calibri" w:hAnsi="Calibri" w:cs="Calibri"/>
                <w:color w:val="1A1A2E"/>
                <w:sz w:val="16"/>
              </w:rPr>
              <w:t>Analytické</w:t>
            </w:r>
          </w:p>
        </w:tc>
        <w:tc>
          <w:tcPr>
            <w:tcW w:type="dxa" w:w="2900"/>
            <w:vAlign w:val="top"/>
            <w:tcMar>
              <w:top w:w="80" w:type="dxa"/>
              <w:start w:w="90" w:type="dxa"/>
              <w:bottom w:w="80" w:type="dxa"/>
              <w:end w:w="90" w:type="dxa"/>
            </w:tcMar>
          </w:tcPr>
          <w:p>
            <w:pPr>
              <w:spacing w:after="0" w:line="252" w:lineRule="auto"/>
            </w:pPr>
            <w:r>
              <w:rPr>
                <w:rFonts w:ascii="Calibri" w:hAnsi="Calibri" w:cs="Calibri"/>
                <w:color w:val="1A1A2E"/>
                <w:sz w:val="16"/>
              </w:rPr>
              <w:t>Rezervovaná kategória pre budúci nástroj, ktorý bude doplnený do týchto zásad pred aktiváciou.</w:t>
            </w:r>
          </w:p>
        </w:tc>
        <w:tc>
          <w:tcPr>
            <w:tcW w:type="dxa" w:w="1540"/>
            <w:vAlign w:val="top"/>
            <w:tcMar>
              <w:top w:w="80" w:type="dxa"/>
              <w:start w:w="90" w:type="dxa"/>
              <w:bottom w:w="80" w:type="dxa"/>
              <w:end w:w="90" w:type="dxa"/>
            </w:tcMar>
          </w:tcPr>
          <w:p>
            <w:pPr>
              <w:spacing w:after="0" w:line="252" w:lineRule="auto"/>
            </w:pPr>
            <w:r>
              <w:rPr>
                <w:rFonts w:ascii="Calibri" w:hAnsi="Calibri" w:cs="Calibri"/>
                <w:color w:val="1A1A2E"/>
                <w:sz w:val="16"/>
              </w:rPr>
              <w:t>Neuplatňuje sa.</w:t>
            </w:r>
          </w:p>
        </w:tc>
      </w:tr>
      <w:tr>
        <w:trPr>
          <w:cantSplit/>
        </w:trPr>
        <w:tc>
          <w:tcPr>
            <w:tcW w:type="dxa" w:w="13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Marketingové identifikátory</w:t>
            </w:r>
          </w:p>
        </w:tc>
        <w:tc>
          <w:tcPr>
            <w:tcW w:type="dxa" w:w="155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Zatiaľ sa nepoužívajú</w:t>
            </w:r>
          </w:p>
        </w:tc>
        <w:tc>
          <w:tcPr>
            <w:tcW w:type="dxa" w:w="115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Marketingové</w:t>
            </w:r>
          </w:p>
        </w:tc>
        <w:tc>
          <w:tcPr>
            <w:tcW w:type="dxa" w:w="290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Rezervovaná kategória pre budúci nástroj, ktorý bude doplnený do týchto zásad pred aktiváciou.</w:t>
            </w:r>
          </w:p>
        </w:tc>
        <w:tc>
          <w:tcPr>
            <w:tcW w:type="dxa" w:w="1540"/>
            <w:vAlign w:val="top"/>
            <w:tcMar>
              <w:top w:w="80" w:type="dxa"/>
              <w:start w:w="90" w:type="dxa"/>
              <w:bottom w:w="80" w:type="dxa"/>
              <w:end w:w="90" w:type="dxa"/>
            </w:tcMar>
            <w:shd w:fill="F6F6FA"/>
          </w:tcPr>
          <w:p>
            <w:pPr>
              <w:spacing w:after="0" w:line="252" w:lineRule="auto"/>
            </w:pPr>
            <w:r>
              <w:rPr>
                <w:rFonts w:ascii="Calibri" w:hAnsi="Calibri" w:cs="Calibri"/>
                <w:color w:val="1A1A2E"/>
                <w:sz w:val="16"/>
              </w:rPr>
              <w:t>Neuplatňuje sa.</w:t>
            </w:r>
          </w:p>
        </w:tc>
      </w:tr>
    </w:tbl>
    <w:p>
      <w:pPr>
        <w:spacing w:after="40"/>
      </w:pPr>
    </w:p>
    <w:p>
      <w:pPr>
        <w:widowControl/>
        <w:jc w:val="both"/>
      </w:pPr>
      <w:r>
        <w:rPr>
          <w:rFonts w:ascii="Calibri" w:hAnsi="Calibri" w:cs="Calibri"/>
          <w:color w:val="1A1A2E"/>
          <w:sz w:val="21"/>
        </w:rPr>
        <w:t>Názov relácie môže produkčné prostredie z bezpečnostných dôvodov zmeniť. Jej účel a kategória zostávajú rovnaké. Serverové CSRF tokeny nemusia vytvárať samostatný cookie a môžu byť viazané na reláciu.</w:t>
      </w:r>
    </w:p>
    <w:p>
      <w:pPr>
        <w:pStyle w:val="Heading1"/>
      </w:pPr>
      <w:r>
        <w:rPr>
          <w:rFonts w:ascii="Calibri" w:hAnsi="Calibri" w:cs="Calibri"/>
          <w:b/>
          <w:color w:val="1A1A2E"/>
          <w:sz w:val="26"/>
        </w:rPr>
        <w:t>6. Ako funguje voľba</w:t>
      </w:r>
    </w:p>
    <w:p>
      <w:pPr>
        <w:pStyle w:val="ListBullet"/>
        <w:widowControl/>
        <w:jc w:val="both"/>
      </w:pPr>
      <w:r>
        <w:rPr>
          <w:rFonts w:ascii="Calibri" w:hAnsi="Calibri" w:cs="Calibri"/>
          <w:color w:val="1A1A2E"/>
          <w:sz w:val="21"/>
        </w:rPr>
        <w:t>Prijať všetky povolí preferenčné, analytické aj marketingové technológie.</w:t>
      </w:r>
    </w:p>
    <w:p>
      <w:pPr>
        <w:pStyle w:val="ListBullet"/>
        <w:widowControl/>
        <w:jc w:val="both"/>
      </w:pPr>
      <w:r>
        <w:rPr>
          <w:rFonts w:ascii="Calibri" w:hAnsi="Calibri" w:cs="Calibri"/>
          <w:color w:val="1A1A2E"/>
          <w:sz w:val="21"/>
        </w:rPr>
        <w:t>Odmietnuť voliteľné ponechá aktívne iba nevyhnutné technológie.</w:t>
      </w:r>
    </w:p>
    <w:p>
      <w:pPr>
        <w:pStyle w:val="ListBullet"/>
        <w:widowControl/>
        <w:jc w:val="both"/>
      </w:pPr>
      <w:r>
        <w:rPr>
          <w:rFonts w:ascii="Calibri" w:hAnsi="Calibri" w:cs="Calibri"/>
          <w:color w:val="1A1A2E"/>
          <w:sz w:val="21"/>
        </w:rPr>
        <w:t>Nastaviť umožní samostatne vybrať preferenčnú, analytickú a marketingovú kategóriu.</w:t>
      </w:r>
    </w:p>
    <w:p>
      <w:pPr>
        <w:pStyle w:val="ListBullet"/>
        <w:widowControl/>
        <w:jc w:val="both"/>
      </w:pPr>
      <w:r>
        <w:rPr>
          <w:rFonts w:ascii="Calibri" w:hAnsi="Calibri" w:cs="Calibri"/>
          <w:color w:val="1A1A2E"/>
          <w:sz w:val="21"/>
        </w:rPr>
        <w:t>Nevyhnutnú kategóriu nemožno v centre nastavení vypnúť, pretože zabezpečuje výslovne požadované funkcie a uchovanie samotnej voľby.</w:t>
      </w:r>
    </w:p>
    <w:p>
      <w:pPr>
        <w:pStyle w:val="ListBullet"/>
        <w:widowControl/>
        <w:jc w:val="both"/>
      </w:pPr>
      <w:r>
        <w:rPr>
          <w:rFonts w:ascii="Calibri" w:hAnsi="Calibri" w:cs="Calibri"/>
          <w:color w:val="1A1A2E"/>
          <w:sz w:val="21"/>
        </w:rPr>
        <w:t>Nečinnosť, posúvanie stránky ani zatvorenie lišty sa nepovažuje za súhlas.</w:t>
      </w:r>
    </w:p>
    <w:p>
      <w:pPr>
        <w:pStyle w:val="ListBullet"/>
        <w:widowControl/>
        <w:jc w:val="both"/>
      </w:pPr>
      <w:r>
        <w:rPr>
          <w:rFonts w:ascii="Calibri" w:hAnsi="Calibri" w:cs="Calibri"/>
          <w:color w:val="1A1A2E"/>
          <w:sz w:val="21"/>
        </w:rPr>
        <w:t>Web zostáva dostupný aj po odmietnutí voliteľných technológií.</w:t>
      </w:r>
    </w:p>
    <w:p>
      <w:pPr>
        <w:widowControl/>
        <w:jc w:val="both"/>
      </w:pPr>
      <w:r>
        <w:rPr>
          <w:rFonts w:ascii="Calibri" w:hAnsi="Calibri" w:cs="Calibri"/>
          <w:color w:val="1A1A2E"/>
          <w:sz w:val="21"/>
        </w:rPr>
        <w:t>Voliteľné skripty sú pred súhlasom uložené v neaktívnom tvare. Správca súhlasu ich aktivuje iba pre povolenú kategóriu. Budúca integrácia musí používať rozhranie ReevalsConsent alebo označenie data-cookie-category. Pri odvolaní sa ďalšie načítanie zastaví a známe voliteľné cookies sa odstránia v technicky možnom rozsahu.</w:t>
      </w:r>
    </w:p>
    <w:p>
      <w:pPr>
        <w:pStyle w:val="Heading1"/>
      </w:pPr>
      <w:r>
        <w:rPr>
          <w:rFonts w:ascii="Calibri" w:hAnsi="Calibri" w:cs="Calibri"/>
          <w:b/>
          <w:color w:val="1A1A2E"/>
          <w:sz w:val="26"/>
        </w:rPr>
        <w:t>7. Zmena alebo odvolanie voľby</w:t>
      </w:r>
    </w:p>
    <w:p>
      <w:pPr>
        <w:widowControl/>
        <w:jc w:val="both"/>
      </w:pPr>
      <w:r>
        <w:rPr>
          <w:rFonts w:ascii="Calibri" w:hAnsi="Calibri" w:cs="Calibri"/>
          <w:color w:val="1A1A2E"/>
          <w:sz w:val="21"/>
        </w:rPr>
        <w:t>Voľbu môžete kedykoľvek zmeniť cez odkaz Nastavenia cookies v pätičke webu alebo prihlasovacej stránky. Odvolanie neovplyvňuje zákonnosť spracúvania pred odvolaním. Po vypnutí kategórie už Reevals nespustí nový zber v tejto kategórii.</w:t>
      </w:r>
    </w:p>
    <w:p>
      <w:pPr>
        <w:widowControl/>
        <w:jc w:val="both"/>
      </w:pPr>
      <w:r>
        <w:rPr>
          <w:rFonts w:ascii="Calibri" w:hAnsi="Calibri" w:cs="Calibri"/>
          <w:color w:val="1A1A2E"/>
          <w:sz w:val="21"/>
        </w:rPr>
        <w:t>Niektoré už načítané externé skripty nemožno bez obnovenia stránky úplne odobrať z pamäte prehliadača. Ak je to potrebné na zastavenie aktívnej integrácie, centrum po zmene na prísnejšiu voľbu stránku automaticky obnoví. Údaje, ktoré už boli zákonne odoslané, sa spravujú podľa Zásad ochrany osobných údajov a pravidiel príslušného poskytovateľa.</w:t>
      </w:r>
    </w:p>
    <w:p>
      <w:pPr>
        <w:pStyle w:val="Heading1"/>
      </w:pPr>
      <w:r>
        <w:rPr>
          <w:rFonts w:ascii="Calibri" w:hAnsi="Calibri" w:cs="Calibri"/>
          <w:b/>
          <w:color w:val="1A1A2E"/>
          <w:sz w:val="26"/>
        </w:rPr>
        <w:t>8. Nastavenia prehliadača</w:t>
      </w:r>
    </w:p>
    <w:p>
      <w:pPr>
        <w:widowControl/>
        <w:jc w:val="both"/>
      </w:pPr>
      <w:r>
        <w:rPr>
          <w:rFonts w:ascii="Calibri" w:hAnsi="Calibri" w:cs="Calibri"/>
          <w:color w:val="1A1A2E"/>
          <w:sz w:val="21"/>
        </w:rPr>
        <w:t>Cookies môžete vymazať alebo blokovať aj v prehliadači. Úplné blokovanie nevyhnutných cookies môže znemožniť prihlásenie, bezpečné odoslanie formulára alebo uchovanie voľby. Nastavenie prehliadača nenahrádza centrum súhlasu pre voliteľné technológie, ak nepredstavuje jednoznačnú a technicky čitateľnú voľbu.</w:t>
      </w:r>
    </w:p>
    <w:p>
      <w:pPr>
        <w:pStyle w:val="Heading1"/>
      </w:pPr>
      <w:r>
        <w:rPr>
          <w:rFonts w:ascii="Calibri" w:hAnsi="Calibri" w:cs="Calibri"/>
          <w:b/>
          <w:color w:val="1A1A2E"/>
          <w:sz w:val="26"/>
        </w:rPr>
        <w:t>9. Právny základ</w:t>
      </w:r>
    </w:p>
    <w:p>
      <w:pPr>
        <w:widowControl/>
        <w:jc w:val="both"/>
      </w:pPr>
      <w:r>
        <w:rPr>
          <w:rFonts w:ascii="Calibri" w:hAnsi="Calibri" w:cs="Calibri"/>
          <w:color w:val="1A1A2E"/>
          <w:sz w:val="21"/>
        </w:rPr>
        <w:t>Nevyhnutné uloženie alebo prístup k informáciám v zariadení používame iba v rozsahu potrebnom na prenos komunikácie alebo poskytnutie služby informačnej spoločnosti, ktorú používateľ výslovne požaduje. Pri preferenčných, analytických a marketingových technológiách používame predchádzajúci súhlas podľa zákona o elektronických komunikáciách a GDPR, ak technológia zahŕňa spracúvanie osobných údajov.</w:t>
      </w:r>
    </w:p>
    <w:p>
      <w:pPr>
        <w:pStyle w:val="Heading1"/>
      </w:pPr>
      <w:r>
        <w:rPr>
          <w:rFonts w:ascii="Calibri" w:hAnsi="Calibri" w:cs="Calibri"/>
          <w:b/>
          <w:color w:val="1A1A2E"/>
          <w:sz w:val="26"/>
        </w:rPr>
        <w:t>10. Zmeny a kontakt</w:t>
      </w:r>
    </w:p>
    <w:p>
      <w:pPr>
        <w:widowControl/>
        <w:jc w:val="both"/>
      </w:pPr>
      <w:r>
        <w:rPr>
          <w:rFonts w:ascii="Calibri" w:hAnsi="Calibri" w:cs="Calibri"/>
          <w:color w:val="1A1A2E"/>
          <w:sz w:val="21"/>
        </w:rPr>
        <w:t>Tieto zásady aktualizujeme pri zmene technológií, účelov alebo právnych požiadaviek. Pri podstatnej zmene znovu zobrazíme cookie lištu. Verzia 1.0 je účinná od 25. augusta 2026.</w:t>
      </w:r>
    </w:p>
    <w:p>
      <w:pPr>
        <w:widowControl/>
        <w:jc w:val="both"/>
      </w:pPr>
      <w:r>
        <w:rPr>
          <w:rFonts w:ascii="Calibri" w:hAnsi="Calibri" w:cs="Calibri"/>
          <w:color w:val="1A1A2E"/>
          <w:sz w:val="21"/>
        </w:rPr>
        <w:t>Otázky o cookies a súkromí pošlite na support@reevals.com. Ďalšie informácie o osobných údajoch sú v Zásadách ochrany osobných údajov na stránke /privacy.</w:t>
      </w:r>
    </w:p>
    <w:sectPr w:rsidR="00FC693F" w:rsidRPr="0006063C" w:rsidSect="00034616">
      <w:headerReference w:type="default" r:id="rId9"/>
      <w:footerReference w:type="default" r:id="rId10"/>
      <w:pgSz w:w="11906" w:h="16838"/>
      <w:pgMar w:top="1332" w:right="1729" w:bottom="1332" w:left="1729"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s="Calibri"/>
        <w:color w:val="666666"/>
        <w:sz w:val="17"/>
      </w:rPr>
      <w:t xml:space="preserve">Reevals  •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s="Calibri"/>
        <w:b/>
        <w:color w:val="666666"/>
        <w:sz w:val="17"/>
      </w:rPr>
      <w:t>REEVALS  •  LEGAL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76" w:lineRule="auto"/>
    </w:pPr>
    <w:rPr>
      <w:rFonts w:ascii="Calibri" w:hAnsi="Calibri"/>
      <w:color w:val="1A1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Calibri" w:hAnsi="Calibri"/>
      <w:b/>
      <w:bCs/>
      <w:color w:val="1A1A2E"/>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4F46E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ind w:left="425" w:hanging="198"/>
      <w:contextualSpacing/>
    </w:pPr>
    <w:rPr>
      <w:rFonts w:ascii="Calibri" w:hAnsi="Calibri"/>
      <w:color w:val="1A1A2E"/>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evalsCallout">
    <w:name w:val="Reevals Callout"/>
    <w:pPr>
      <w:spacing w:before="80" w:after="140" w:line="264" w:lineRule="auto"/>
      <w:ind w:left="125" w:right="125"/>
    </w:pPr>
    <w:rPr>
      <w:rFonts w:ascii="Calibri" w:hAnsi="Calibri"/>
      <w:color w:val="1A1A2E"/>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používania cookies</dc:title>
  <dc:subject>Reevals legal document version 1.0</dc:subject>
  <dc:creator>CREALAB s.r.o.</dc:creator>
  <cp:keywords>Reevals, GDPR, SaaS, privacy, DPA, cookies</cp:keywords>
  <dc:description>generated by python-docx</dc:description>
  <cp:lastModifiedBy/>
  <cp:revision>1</cp:revision>
  <dcterms:created xsi:type="dcterms:W3CDTF">2013-12-23T23:15:00Z</dcterms:created>
  <dcterms:modified xsi:type="dcterms:W3CDTF">2013-12-23T23:15:00Z</dcterms:modified>
  <cp:category/>
</cp:coreProperties>
</file>