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p>
    <w:p>
      <w:pPr>
        <w:spacing w:after="100"/>
        <w:jc w:val="center"/>
      </w:pPr>
      <w:r>
        <w:rPr>
          <w:rFonts w:ascii="Calibri" w:hAnsi="Calibri" w:cs="Calibri"/>
          <w:b/>
          <w:color w:val="4F46E5"/>
          <w:sz w:val="18"/>
        </w:rPr>
        <w:t>REEVALS  •  PRÁVNE DOKUMENTY</w:t>
      </w:r>
    </w:p>
    <w:p>
      <w:pPr>
        <w:spacing w:after="160"/>
        <w:jc w:val="center"/>
      </w:pPr>
      <w:r>
        <w:rPr>
          <w:rFonts w:ascii="Calibri" w:hAnsi="Calibri" w:cs="Calibri"/>
          <w:b/>
          <w:color w:val="1A1A2E"/>
          <w:sz w:val="44"/>
        </w:rPr>
        <w:t>Dohoda o spracúvaní osobných údajov</w:t>
      </w:r>
    </w:p>
    <w:p>
      <w:pPr>
        <w:spacing w:after="280"/>
        <w:jc w:val="center"/>
      </w:pPr>
      <w:r>
        <w:rPr>
          <w:rFonts w:ascii="Calibri" w:hAnsi="Calibri" w:cs="Calibri"/>
          <w:i/>
          <w:color w:val="666666"/>
          <w:sz w:val="20"/>
        </w:rPr>
        <w:t>Verzia 1.0  •  Účinnosť od 25. augusta 2026</w:t>
      </w:r>
    </w:p>
    <w:p>
      <w:pPr>
        <w:pStyle w:val="ReevalsCallout"/>
        <w:shd w:fill="F3F2FF"/>
        <w:pBdr>
          <w:top w:val="single" w:sz="6" w:space="5" w:color="A5A0F5"/>
          <w:left w:val="single" w:sz="6" w:space="5" w:color="A5A0F5"/>
          <w:bottom w:val="single" w:sz="6" w:space="5" w:color="A5A0F5"/>
          <w:right w:val="single" w:sz="6" w:space="5" w:color="A5A0F5"/>
        </w:pBdr>
        <w:jc w:val="left"/>
      </w:pPr>
      <w:r>
        <w:rPr>
          <w:rFonts w:ascii="Calibri" w:hAnsi="Calibri" w:cs="Calibri"/>
          <w:color w:val="1A1A2E"/>
          <w:sz w:val="20"/>
        </w:rPr>
        <w:t>Táto dohoda upravuje spracúvanie osobných údajov spoločnosťou CREALAB s.r.o. v postavení sprostredkovateľa pri poskytovaní služby Reevals zákazníkovi v postavení prevádzkovateľa.</w:t>
      </w:r>
    </w:p>
    <w:p>
      <w:pPr>
        <w:pStyle w:val="Heading1"/>
      </w:pPr>
      <w:r>
        <w:rPr>
          <w:rFonts w:ascii="Calibri" w:hAnsi="Calibri" w:cs="Calibri"/>
          <w:b/>
          <w:color w:val="1A1A2E"/>
          <w:sz w:val="26"/>
        </w:rPr>
        <w:t>1. Strany a začlenenie do Zmluvy</w:t>
      </w:r>
    </w:p>
    <w:p>
      <w:pPr>
        <w:widowControl/>
        <w:jc w:val="both"/>
      </w:pPr>
      <w:r>
        <w:rPr>
          <w:rFonts w:ascii="Calibri" w:hAnsi="Calibri" w:cs="Calibri"/>
          <w:color w:val="1A1A2E"/>
          <w:sz w:val="21"/>
        </w:rPr>
        <w:t>Táto Dohoda o spracúvaní osobných údajov, ďalej len DPA, je uzatvorená medzi zákazníkom služby Reevals ako prevádzkovateľom a CREALAB s.r.o., Terézie Vansovej 1167/1, 050 01 Revúca, Slovenská republika, IČO 50 156 896, ako sprostredkovateľom.</w:t>
      </w:r>
    </w:p>
    <w:p>
      <w:pPr>
        <w:widowControl/>
        <w:jc w:val="both"/>
      </w:pPr>
      <w:r>
        <w:rPr>
          <w:rFonts w:ascii="Calibri" w:hAnsi="Calibri" w:cs="Calibri"/>
          <w:color w:val="1A1A2E"/>
          <w:sz w:val="21"/>
        </w:rPr>
        <w:t>DPA je súčasťou Zmluvy o službe Reevals v rozsahu, v akom CREALAB spracúva osobné údaje obsiahnuté v Zákazníckych dátach v mene zákazníka. Pojmy s veľkým začiatočným písmenom majú význam podľa Podmienok používania, ak ich DPA nedefinuje inak.</w:t>
      </w:r>
    </w:p>
    <w:p>
      <w:pPr>
        <w:widowControl/>
        <w:jc w:val="both"/>
      </w:pPr>
      <w:r>
        <w:rPr>
          <w:rFonts w:ascii="Calibri" w:hAnsi="Calibri" w:cs="Calibri"/>
          <w:color w:val="1A1A2E"/>
          <w:sz w:val="21"/>
        </w:rPr>
        <w:t>Pri rozpore má DPA prednosť pre otázky ochrany osobných údajov. Individuálne podpísaná dohoda strán má prednosť pred touto online DPA v rozsahu výslovného rozporu.</w:t>
      </w:r>
    </w:p>
    <w:p>
      <w:pPr>
        <w:pStyle w:val="Heading1"/>
      </w:pPr>
      <w:r>
        <w:rPr>
          <w:rFonts w:ascii="Calibri" w:hAnsi="Calibri" w:cs="Calibri"/>
          <w:b/>
          <w:color w:val="1A1A2E"/>
          <w:sz w:val="26"/>
        </w:rPr>
        <w:t>2. Predmet, trvanie a pokyny</w:t>
      </w:r>
    </w:p>
    <w:p>
      <w:pPr>
        <w:widowControl/>
        <w:jc w:val="both"/>
      </w:pPr>
      <w:r>
        <w:rPr>
          <w:rFonts w:ascii="Calibri" w:hAnsi="Calibri" w:cs="Calibri"/>
          <w:color w:val="1A1A2E"/>
          <w:sz w:val="21"/>
        </w:rPr>
        <w:t>Predmetom je spracúvanie potrebné na poskytovanie, zabezpečenie, podporu a ukončenie služby Reevals podľa Zmluvy. Spracúvanie trvá počas Zmluvy a následne po dobu potrebnú na export, vymazanie, bezpečné vyradenie záloh a splnenie záväzných právnych povinností.</w:t>
      </w:r>
    </w:p>
    <w:p>
      <w:pPr>
        <w:widowControl/>
        <w:jc w:val="both"/>
      </w:pPr>
      <w:r>
        <w:rPr>
          <w:rFonts w:ascii="Calibri" w:hAnsi="Calibri" w:cs="Calibri"/>
          <w:color w:val="1A1A2E"/>
          <w:sz w:val="21"/>
        </w:rPr>
        <w:t>Zmluva, konfigurácia služby, oprávnené používanie funkcií, požiadavky podpory a písomné pokyny zákazníka tvoria zdokumentované pokyny. CREALAB spracúva osobné údaje iba na tieto pokyny, vrátane prenosu do tretej krajiny, ak spracúvanie nevyžaduje právo Únie alebo členského štátu. O takej právnej požiadavke zákazníka vopred informuje, ak to právo nezakazuje z dôležitých dôvodov verejného záujmu.</w:t>
      </w:r>
    </w:p>
    <w:p>
      <w:pPr>
        <w:widowControl/>
        <w:jc w:val="both"/>
      </w:pPr>
      <w:r>
        <w:rPr>
          <w:rFonts w:ascii="Calibri" w:hAnsi="Calibri" w:cs="Calibri"/>
          <w:color w:val="1A1A2E"/>
          <w:sz w:val="21"/>
        </w:rPr>
        <w:t>Ak sa CREALAB domnieva, že pokyn porušuje GDPR alebo iný predpis o ochrane údajov, bezodkladne zákazníka informuje a môže vykonanie dotknutej časti pozastaviť do objasnenia alebo zákonnej úpravy pokynu.</w:t>
      </w:r>
    </w:p>
    <w:p>
      <w:pPr>
        <w:pStyle w:val="Heading1"/>
      </w:pPr>
      <w:r>
        <w:rPr>
          <w:rFonts w:ascii="Calibri" w:hAnsi="Calibri" w:cs="Calibri"/>
          <w:b/>
          <w:color w:val="1A1A2E"/>
          <w:sz w:val="26"/>
        </w:rPr>
        <w:t>3. Povinnosti zákazníka</w:t>
      </w:r>
    </w:p>
    <w:p>
      <w:pPr>
        <w:pStyle w:val="ListBullet"/>
        <w:widowControl/>
        <w:jc w:val="both"/>
      </w:pPr>
      <w:r>
        <w:rPr>
          <w:rFonts w:ascii="Calibri" w:hAnsi="Calibri" w:cs="Calibri"/>
          <w:color w:val="1A1A2E"/>
          <w:sz w:val="21"/>
        </w:rPr>
        <w:t>Určiť účely a prostriedky spracúvania a mať preň platný právny základ.</w:t>
      </w:r>
    </w:p>
    <w:p>
      <w:pPr>
        <w:pStyle w:val="ListBullet"/>
        <w:widowControl/>
        <w:jc w:val="both"/>
      </w:pPr>
      <w:r>
        <w:rPr>
          <w:rFonts w:ascii="Calibri" w:hAnsi="Calibri" w:cs="Calibri"/>
          <w:color w:val="1A1A2E"/>
          <w:sz w:val="21"/>
        </w:rPr>
        <w:t>Poskytnúť dotknutým osobám potrebné informácie a vybavovať ich práva.</w:t>
      </w:r>
    </w:p>
    <w:p>
      <w:pPr>
        <w:pStyle w:val="ListBullet"/>
        <w:widowControl/>
        <w:jc w:val="both"/>
      </w:pPr>
      <w:r>
        <w:rPr>
          <w:rFonts w:ascii="Calibri" w:hAnsi="Calibri" w:cs="Calibri"/>
          <w:color w:val="1A1A2E"/>
          <w:sz w:val="21"/>
        </w:rPr>
        <w:t>Vkladať iba údaje primerané účelu a nepoužívať službu na zakázané alebo neprimerane rizikové spracúvanie.</w:t>
      </w:r>
    </w:p>
    <w:p>
      <w:pPr>
        <w:pStyle w:val="ListBullet"/>
        <w:widowControl/>
        <w:jc w:val="both"/>
      </w:pPr>
      <w:r>
        <w:rPr>
          <w:rFonts w:ascii="Calibri" w:hAnsi="Calibri" w:cs="Calibri"/>
          <w:color w:val="1A1A2E"/>
          <w:sz w:val="21"/>
        </w:rPr>
        <w:t>Nastaviť oprávnenia, retenčné pravidlá, integrácie a bezpečnostné funkcie primerane riziku.</w:t>
      </w:r>
    </w:p>
    <w:p>
      <w:pPr>
        <w:pStyle w:val="ListBullet"/>
        <w:widowControl/>
        <w:jc w:val="both"/>
      </w:pPr>
      <w:r>
        <w:rPr>
          <w:rFonts w:ascii="Calibri" w:hAnsi="Calibri" w:cs="Calibri"/>
          <w:color w:val="1A1A2E"/>
          <w:sz w:val="21"/>
        </w:rPr>
        <w:t>Chrániť prihlasovacie údaje a bezodkladne oznamovať podozrenie na kompromitáciu.</w:t>
      </w:r>
    </w:p>
    <w:p>
      <w:pPr>
        <w:pStyle w:val="ListBullet"/>
        <w:widowControl/>
        <w:jc w:val="both"/>
      </w:pPr>
      <w:r>
        <w:rPr>
          <w:rFonts w:ascii="Calibri" w:hAnsi="Calibri" w:cs="Calibri"/>
          <w:color w:val="1A1A2E"/>
          <w:sz w:val="21"/>
        </w:rPr>
        <w:t>Nevkladať osobitné kategórie údajov, údaje o trestných činoch ani rozsiahle údaje detí bez predchádzajúcej písomnej dohody a primeraných dodatočných opatrení.</w:t>
      </w:r>
    </w:p>
    <w:p>
      <w:pPr>
        <w:pStyle w:val="Heading1"/>
      </w:pPr>
      <w:r>
        <w:rPr>
          <w:rFonts w:ascii="Calibri" w:hAnsi="Calibri" w:cs="Calibri"/>
          <w:b/>
          <w:color w:val="1A1A2E"/>
          <w:sz w:val="26"/>
        </w:rPr>
        <w:t>4. Dôvernosť a oprávnené osoby</w:t>
      </w:r>
    </w:p>
    <w:p>
      <w:pPr>
        <w:widowControl/>
        <w:jc w:val="both"/>
      </w:pPr>
      <w:r>
        <w:rPr>
          <w:rFonts w:ascii="Calibri" w:hAnsi="Calibri" w:cs="Calibri"/>
          <w:color w:val="1A1A2E"/>
          <w:sz w:val="21"/>
        </w:rPr>
        <w:t>CREALAB zabezpečí, aby osoby oprávnené spracúvať osobné údaje boli viazané mlčanlivosťou alebo príslušnou zákonnou povinnosťou mlčanlivosti a aby mali prístup iba v rozsahu pracovnej potreby.</w:t>
      </w:r>
    </w:p>
    <w:p>
      <w:pPr>
        <w:widowControl/>
        <w:jc w:val="both"/>
      </w:pPr>
      <w:r>
        <w:rPr>
          <w:rFonts w:ascii="Calibri" w:hAnsi="Calibri" w:cs="Calibri"/>
          <w:color w:val="1A1A2E"/>
          <w:sz w:val="21"/>
        </w:rPr>
        <w:t>CREALAB primerane školí oprávnené osoby v oblasti bezpečnosti a ochrany údajov a pravidelne kontroluje ich prístupové oprávnenia. Povinnosť dôvernosti trvá aj po skončení ich oprávnenia alebo pracovného vzťahu.</w:t>
      </w:r>
    </w:p>
    <w:p>
      <w:pPr>
        <w:pStyle w:val="Heading1"/>
      </w:pPr>
      <w:r>
        <w:rPr>
          <w:rFonts w:ascii="Calibri" w:hAnsi="Calibri" w:cs="Calibri"/>
          <w:b/>
          <w:color w:val="1A1A2E"/>
          <w:sz w:val="26"/>
        </w:rPr>
        <w:t>5. Bezpečnosť spracúvania</w:t>
      </w:r>
    </w:p>
    <w:p>
      <w:pPr>
        <w:widowControl/>
        <w:jc w:val="both"/>
      </w:pPr>
      <w:r>
        <w:rPr>
          <w:rFonts w:ascii="Calibri" w:hAnsi="Calibri" w:cs="Calibri"/>
          <w:color w:val="1A1A2E"/>
          <w:sz w:val="21"/>
        </w:rPr>
        <w:t>CREALAB prijme a udržiava primerané technické a organizačné opatrenia podľa článku 32 GDPR, stavu techniky, nákladov, povahy, rozsahu, kontextu, účelov a rizika. Základný rámec opatrení je v Prílohe 2.</w:t>
      </w:r>
    </w:p>
    <w:p>
      <w:pPr>
        <w:widowControl/>
        <w:jc w:val="both"/>
      </w:pPr>
      <w:r>
        <w:rPr>
          <w:rFonts w:ascii="Calibri" w:hAnsi="Calibri" w:cs="Calibri"/>
          <w:color w:val="1A1A2E"/>
          <w:sz w:val="21"/>
        </w:rPr>
        <w:t>Zákazník berie na vedomie, že bezpečnosť je zdieľaná zodpovednosť. Zodpovedá za konfiguráciu vlastných používateľov, rolí, zdrojov, integrácií, exportov a zariadení. CREALAB môže opatrenia meniť, ak nezníži celkovú úroveň ochrany relevantnú pre službu.</w:t>
      </w:r>
    </w:p>
    <w:p>
      <w:pPr>
        <w:pStyle w:val="Heading1"/>
      </w:pPr>
      <w:r>
        <w:rPr>
          <w:rFonts w:ascii="Calibri" w:hAnsi="Calibri" w:cs="Calibri"/>
          <w:b/>
          <w:color w:val="1A1A2E"/>
          <w:sz w:val="26"/>
        </w:rPr>
        <w:t>6. Ďalší sprostredkovatelia</w:t>
      </w:r>
    </w:p>
    <w:p>
      <w:pPr>
        <w:widowControl/>
        <w:jc w:val="both"/>
      </w:pPr>
      <w:r>
        <w:rPr>
          <w:rFonts w:ascii="Calibri" w:hAnsi="Calibri" w:cs="Calibri"/>
          <w:color w:val="1A1A2E"/>
          <w:sz w:val="21"/>
        </w:rPr>
        <w:t>Zákazník udeľuje CREALAB všeobecné písomné povolenie zapojiť ďalších sprostredkovateľov. Aktuálny zoznam, účel a miesto spracúvania sú na stránke /subprocessors. Externá služba sa použije iba v rozsahu potrebnom pre aktivovanú funkciu alebo prevádzku služby.</w:t>
      </w:r>
    </w:p>
    <w:p>
      <w:pPr>
        <w:widowControl/>
        <w:jc w:val="both"/>
      </w:pPr>
      <w:r>
        <w:rPr>
          <w:rFonts w:ascii="Calibri" w:hAnsi="Calibri" w:cs="Calibri"/>
          <w:color w:val="1A1A2E"/>
          <w:sz w:val="21"/>
        </w:rPr>
        <w:t>CREALAB oznámi plánované pridanie alebo nahradenie ďalšieho sprostredkovateľa najmenej 15 dní vopred e-mailom, oznámením v službe alebo aktualizáciou zoznamu s možnosťou odberu oznámení. Zákazník môže počas tejto lehoty podať odôvodnenú námietku týkajúcu sa ochrany osobných údajov.</w:t>
      </w:r>
    </w:p>
    <w:p>
      <w:pPr>
        <w:widowControl/>
        <w:jc w:val="both"/>
      </w:pPr>
      <w:r>
        <w:rPr>
          <w:rFonts w:ascii="Calibri" w:hAnsi="Calibri" w:cs="Calibri"/>
          <w:color w:val="1A1A2E"/>
          <w:sz w:val="21"/>
        </w:rPr>
        <w:t>Strany sa pokúsia námietku vyriešiť primeranou zmenou, doplnkovým opatrením alebo vypnutím dotknutej voliteľnej funkcie. Ak rozumné riešenie nie je možné, zákazník môže ukončiť dotknutú časť služby. CREALAB uloží ďalšiemu sprostredkovateľovi v podstate rovnaké povinnosti ochrany údajov a zostáva voči zákazníkovi zodpovedný za jeho plnenie v rozsahu článku 28 GDPR.</w:t>
      </w:r>
    </w:p>
    <w:p>
      <w:pPr>
        <w:pStyle w:val="Heading1"/>
      </w:pPr>
      <w:r>
        <w:rPr>
          <w:rFonts w:ascii="Calibri" w:hAnsi="Calibri" w:cs="Calibri"/>
          <w:b/>
          <w:color w:val="1A1A2E"/>
          <w:sz w:val="26"/>
        </w:rPr>
        <w:t>7. Prenosy do tretích krajín</w:t>
      </w:r>
    </w:p>
    <w:p>
      <w:pPr>
        <w:widowControl/>
        <w:jc w:val="both"/>
      </w:pPr>
      <w:r>
        <w:rPr>
          <w:rFonts w:ascii="Calibri" w:hAnsi="Calibri" w:cs="Calibri"/>
          <w:color w:val="1A1A2E"/>
          <w:sz w:val="21"/>
        </w:rPr>
        <w:t>CREALAB neprenesie osobné údaje mimo Európskeho hospodárskeho priestoru bez platného mechanizmu podľa kapitoly V GDPR. Môže použiť rozhodnutie o primeranosti, štandardné zmluvné doložky prijaté Európskou komisiou alebo iný zákonný mechanizmus a podľa rizika doplnkové opatrenia.</w:t>
      </w:r>
    </w:p>
    <w:p>
      <w:pPr>
        <w:widowControl/>
        <w:jc w:val="both"/>
      </w:pPr>
      <w:r>
        <w:rPr>
          <w:rFonts w:ascii="Calibri" w:hAnsi="Calibri" w:cs="Calibri"/>
          <w:color w:val="1A1A2E"/>
          <w:sz w:val="21"/>
        </w:rPr>
        <w:t>Ak sa použijú štandardné zmluvné doložky medzi zákazníkom ako vývozcom a CREALAB alebo ďalším sprostredkovateľom ako dovozcom, príslušný modul, prílohy tejto DPA a zoznam subdodávateľov dopĺňajú doložky v potrebnom rozsahu.</w:t>
      </w:r>
    </w:p>
    <w:p>
      <w:pPr>
        <w:pStyle w:val="Heading1"/>
      </w:pPr>
      <w:r>
        <w:rPr>
          <w:rFonts w:ascii="Calibri" w:hAnsi="Calibri" w:cs="Calibri"/>
          <w:b/>
          <w:color w:val="1A1A2E"/>
          <w:sz w:val="26"/>
        </w:rPr>
        <w:t>8. Práva dotknutých osôb</w:t>
      </w:r>
    </w:p>
    <w:p>
      <w:pPr>
        <w:widowControl/>
        <w:jc w:val="both"/>
      </w:pPr>
      <w:r>
        <w:rPr>
          <w:rFonts w:ascii="Calibri" w:hAnsi="Calibri" w:cs="Calibri"/>
          <w:color w:val="1A1A2E"/>
          <w:sz w:val="21"/>
        </w:rPr>
        <w:t>S prihliadnutím na povahu spracúvania CREALAB primeranými technickými a organizačnými opatreniami pomôže zákazníkovi plniť povinnosti pri žiadostiach dotknutých osôb. Ak CREALAB dostane žiadosť priamo, bez zbytočného odkladu ju postúpi zákazníkovi a nebude na ňu vecne odpovedať bez pokynu, ak odpoveď nevyžaduje zákon.</w:t>
      </w:r>
    </w:p>
    <w:p>
      <w:pPr>
        <w:widowControl/>
        <w:jc w:val="both"/>
      </w:pPr>
      <w:r>
        <w:rPr>
          <w:rFonts w:ascii="Calibri" w:hAnsi="Calibri" w:cs="Calibri"/>
          <w:color w:val="1A1A2E"/>
          <w:sz w:val="21"/>
        </w:rPr>
        <w:t>Štandardné samoobslužné funkcie exportu, opravy, obmedzenia a vymazania sú zahrnuté v službe, ak ich plán podporuje. Neštandardná pomoc nad primeraný rozsah môže byť spoplatnená podľa dohody, ak potrebu nespôsobil nesúlad CREALAB s DPA.</w:t>
      </w:r>
    </w:p>
    <w:p>
      <w:pPr>
        <w:pStyle w:val="Heading1"/>
      </w:pPr>
      <w:r>
        <w:rPr>
          <w:rFonts w:ascii="Calibri" w:hAnsi="Calibri" w:cs="Calibri"/>
          <w:b/>
          <w:color w:val="1A1A2E"/>
          <w:sz w:val="26"/>
        </w:rPr>
        <w:t>9. Porušenie ochrany osobných údajov</w:t>
      </w:r>
    </w:p>
    <w:p>
      <w:pPr>
        <w:widowControl/>
        <w:jc w:val="both"/>
      </w:pPr>
      <w:r>
        <w:rPr>
          <w:rFonts w:ascii="Calibri" w:hAnsi="Calibri" w:cs="Calibri"/>
          <w:color w:val="1A1A2E"/>
          <w:sz w:val="21"/>
        </w:rPr>
        <w:t>CREALAB oznámi zákazníkovi porušenie ochrany osobných údajov týkajúce sa Zákazníckych dát bez zbytočného odkladu po tom, ako sa o ňom dozvie. Oznámenie poskytne na zmluvný alebo bezpečnostný kontakt zákazníka.</w:t>
      </w:r>
    </w:p>
    <w:p>
      <w:pPr>
        <w:widowControl/>
        <w:jc w:val="both"/>
      </w:pPr>
      <w:r>
        <w:rPr>
          <w:rFonts w:ascii="Calibri" w:hAnsi="Calibri" w:cs="Calibri"/>
          <w:color w:val="1A1A2E"/>
          <w:sz w:val="21"/>
        </w:rPr>
        <w:t>Podľa dostupnosti uvedie povahu incidentu, dotknuté kategórie údajov a osôb, pravdepodobné následky, prijaté alebo navrhované opatrenia a kontaktný bod. Informácie môže poskytovať postupne. Oznámenie nie je uznaním zodpovednosti. CREALAB prijme primerané opatrenia na obmedzenie a nápravu incidentu.</w:t>
      </w:r>
    </w:p>
    <w:p>
      <w:pPr>
        <w:widowControl/>
        <w:jc w:val="both"/>
      </w:pPr>
      <w:r>
        <w:rPr>
          <w:rFonts w:ascii="Calibri" w:hAnsi="Calibri" w:cs="Calibri"/>
          <w:color w:val="1A1A2E"/>
          <w:sz w:val="21"/>
        </w:rPr>
        <w:t>Zákazník zodpovedá za posúdenie a splnenie vlastných oznamovacích povinností voči dozornému orgánu a dotknutým osobám. CREALAB mu poskytne dostupnú primeranú súčinnosť.</w:t>
      </w:r>
    </w:p>
    <w:p>
      <w:pPr>
        <w:pStyle w:val="Heading1"/>
      </w:pPr>
      <w:r>
        <w:rPr>
          <w:rFonts w:ascii="Calibri" w:hAnsi="Calibri" w:cs="Calibri"/>
          <w:b/>
          <w:color w:val="1A1A2E"/>
          <w:sz w:val="26"/>
        </w:rPr>
        <w:t>10. Posúdenie vplyvu, konzultácie a informácie</w:t>
      </w:r>
    </w:p>
    <w:p>
      <w:pPr>
        <w:widowControl/>
        <w:jc w:val="both"/>
      </w:pPr>
      <w:r>
        <w:rPr>
          <w:rFonts w:ascii="Calibri" w:hAnsi="Calibri" w:cs="Calibri"/>
          <w:color w:val="1A1A2E"/>
          <w:sz w:val="21"/>
        </w:rPr>
        <w:t>CREALAB poskytne zákazníkovi informácie primerane potrebné na preukázanie súladu s článkom 28 GDPR a na posúdenie vplyvu alebo predchádzajúcu konzultáciu podľa článkov 35 a 36 GDPR, ak sa týkajú spracúvania v službe a zákazník ich nemôže primerane získať inak.</w:t>
      </w:r>
    </w:p>
    <w:p>
      <w:pPr>
        <w:widowControl/>
        <w:jc w:val="both"/>
      </w:pPr>
      <w:r>
        <w:rPr>
          <w:rFonts w:ascii="Calibri" w:hAnsi="Calibri" w:cs="Calibri"/>
          <w:color w:val="1A1A2E"/>
          <w:sz w:val="21"/>
        </w:rPr>
        <w:t>Pomoc vychádza z informácií a funkcií dostupných CREALAB. Zákazník zostáva zodpovedný za svoje posúdenie účelov, právnych základov, proporcionality a rizík.</w:t>
      </w:r>
    </w:p>
    <w:p>
      <w:pPr>
        <w:pStyle w:val="Heading1"/>
      </w:pPr>
      <w:r>
        <w:rPr>
          <w:rFonts w:ascii="Calibri" w:hAnsi="Calibri" w:cs="Calibri"/>
          <w:b/>
          <w:color w:val="1A1A2E"/>
          <w:sz w:val="26"/>
        </w:rPr>
        <w:t>11. Audity</w:t>
      </w:r>
    </w:p>
    <w:p>
      <w:pPr>
        <w:widowControl/>
        <w:jc w:val="both"/>
      </w:pPr>
      <w:r>
        <w:rPr>
          <w:rFonts w:ascii="Calibri" w:hAnsi="Calibri" w:cs="Calibri"/>
          <w:color w:val="1A1A2E"/>
          <w:sz w:val="21"/>
        </w:rPr>
        <w:t>CREALAB najprv poskytne dostupnú bezpečnostnú dokumentáciu, výsledky nezávislých posúdení alebo odpovede na primeraný dotazník. Ak to nestačí na preukázanie súladu, zákazník môže najviac raz za 12 mesiacov vykonať audit alebo poveriť nezávislého audítora, ak častejší audit nevyžaduje incident, dozorný orgán alebo dôvodné podozrenie na závažný nesúlad.</w:t>
      </w:r>
    </w:p>
    <w:p>
      <w:pPr>
        <w:widowControl/>
        <w:jc w:val="both"/>
      </w:pPr>
      <w:r>
        <w:rPr>
          <w:rFonts w:ascii="Calibri" w:hAnsi="Calibri" w:cs="Calibri"/>
          <w:color w:val="1A1A2E"/>
          <w:sz w:val="21"/>
        </w:rPr>
        <w:t>Audit sa oznámi najmenej 30 dní vopred, vykoná sa v pracovnom čase, obmedzí sa na relevantné systémy a nesmie ohroziť bezpečnosť, dôvernosť iných zákazníkov ani prevádzku. Audítor musí byť viazaný mlčanlivosťou a nesmie byť priamym konkurentom CREALAB. Zákazník znáša svoje náklady, ak audit nepreukáže podstatný nesúlad CREALAB.</w:t>
      </w:r>
    </w:p>
    <w:p>
      <w:pPr>
        <w:pStyle w:val="Heading1"/>
      </w:pPr>
      <w:r>
        <w:rPr>
          <w:rFonts w:ascii="Calibri" w:hAnsi="Calibri" w:cs="Calibri"/>
          <w:b/>
          <w:color w:val="1A1A2E"/>
          <w:sz w:val="26"/>
        </w:rPr>
        <w:t>12. Vrátenie a vymazanie</w:t>
      </w:r>
    </w:p>
    <w:p>
      <w:pPr>
        <w:widowControl/>
        <w:jc w:val="both"/>
      </w:pPr>
      <w:r>
        <w:rPr>
          <w:rFonts w:ascii="Calibri" w:hAnsi="Calibri" w:cs="Calibri"/>
          <w:color w:val="1A1A2E"/>
          <w:sz w:val="21"/>
        </w:rPr>
        <w:t>Po skončení služby CREALAB podľa voľby zákazníka vráti dostupné Zákaznícke dáta v štandardnom formáte alebo ich vymaže, ak právo nevyžaduje ďalšie uchovanie. Žiadosť o štandardný export sa podáva v lehote uvedenej v Podmienkach používania.</w:t>
      </w:r>
    </w:p>
    <w:p>
      <w:pPr>
        <w:widowControl/>
        <w:jc w:val="both"/>
      </w:pPr>
      <w:r>
        <w:rPr>
          <w:rFonts w:ascii="Calibri" w:hAnsi="Calibri" w:cs="Calibri"/>
          <w:color w:val="1A1A2E"/>
          <w:sz w:val="21"/>
        </w:rPr>
        <w:t>Kópie v bezpečnostných zálohách sa zneprístupnia bežnému používaniu a vymažú alebo prepíšu v rámci bežného cyklu obnovy. Počas tohto obdobia zostávajú chránené podľa DPA a neobnovujú sa do aktívnej prevádzky okrem potreby kontinuity, bezpečnosti alebo zákonnej povinnosti.</w:t>
      </w:r>
    </w:p>
    <w:p>
      <w:pPr>
        <w:pStyle w:val="Heading1"/>
      </w:pPr>
      <w:r>
        <w:rPr>
          <w:rFonts w:ascii="Calibri" w:hAnsi="Calibri" w:cs="Calibri"/>
          <w:b/>
          <w:color w:val="1A1A2E"/>
          <w:sz w:val="26"/>
        </w:rPr>
        <w:t>13. Zodpovednosť, zmeny a skončenie</w:t>
      </w:r>
    </w:p>
    <w:p>
      <w:pPr>
        <w:widowControl/>
        <w:jc w:val="both"/>
      </w:pPr>
      <w:r>
        <w:rPr>
          <w:rFonts w:ascii="Calibri" w:hAnsi="Calibri" w:cs="Calibri"/>
          <w:color w:val="1A1A2E"/>
          <w:sz w:val="21"/>
        </w:rPr>
        <w:t>Zodpovednosť strán podľa DPA podlieha obmedzeniam dohodnutým v Zmluve v najširšom rozsahu dovolenom právom. Tým nie sú dotknuté práva dotknutých osôb ani právomoci dozorných orgánov.</w:t>
      </w:r>
    </w:p>
    <w:p>
      <w:pPr>
        <w:widowControl/>
        <w:jc w:val="both"/>
      </w:pPr>
      <w:r>
        <w:rPr>
          <w:rFonts w:ascii="Calibri" w:hAnsi="Calibri" w:cs="Calibri"/>
          <w:color w:val="1A1A2E"/>
          <w:sz w:val="21"/>
        </w:rPr>
        <w:t>DPA môžeme aktualizovať pri zmene práva alebo služby, ak neznížime podstatnú úroveň ochrany. Podstatnú zmenu oznámime podľa pravidiel pre zmenu Podmienok. Záväzky, ktoré majú podľa účelu pretrvať, zostávajú účinné do vymazania všetkých osobných údajov spracúvaných v mene zákazníka.</w:t>
      </w:r>
    </w:p>
    <w:p>
      <w:pPr>
        <w:pStyle w:val="Heading1"/>
      </w:pPr>
      <w:r>
        <w:rPr>
          <w:rFonts w:ascii="Calibri" w:hAnsi="Calibri" w:cs="Calibri"/>
          <w:b/>
          <w:color w:val="1A1A2E"/>
          <w:sz w:val="26"/>
        </w:rPr>
        <w:t>Príloha 1. Opis spracúvania</w:t>
      </w:r>
    </w:p>
    <w:tbl>
      <w:tblPr>
        <w:tblStyle w:val="TableGrid"/>
        <w:tblW w:type="dxa" w:w="8440"/>
        <w:jc w:val="center"/>
        <w:tblLayout w:type="fixed"/>
        <w:tblLook w:firstColumn="1" w:firstRow="1" w:lastColumn="0" w:lastRow="0" w:noHBand="0" w:noVBand="1" w:val="04A0"/>
      </w:tblPr>
      <w:tblGrid>
        <w:gridCol w:w="2700"/>
        <w:gridCol w:w="5740"/>
      </w:tblGrid>
      <w:tr>
        <w:trPr>
          <w:tblHeader w:val="true"/>
          <w:cantSplit/>
        </w:trPr>
        <w:tc>
          <w:tcPr>
            <w:tcW w:type="dxa" w:w="2700"/>
            <w:vAlign w:val="center"/>
            <w:shd w:fill="29275A"/>
            <w:tcMar>
              <w:top w:w="80" w:type="dxa"/>
              <w:start w:w="90" w:type="dxa"/>
              <w:bottom w:w="80" w:type="dxa"/>
              <w:end w:w="90" w:type="dxa"/>
            </w:tcMar>
          </w:tcPr>
          <w:p>
            <w:pPr>
              <w:spacing w:after="0"/>
            </w:pPr>
            <w:r>
              <w:rPr>
                <w:rFonts w:ascii="Calibri" w:hAnsi="Calibri" w:cs="Calibri"/>
                <w:b/>
                <w:color w:val="FFFFFF"/>
                <w:sz w:val="16"/>
              </w:rPr>
              <w:t>Prvok</w:t>
            </w:r>
          </w:p>
        </w:tc>
        <w:tc>
          <w:tcPr>
            <w:tcW w:type="dxa" w:w="5740"/>
            <w:vAlign w:val="center"/>
            <w:shd w:fill="29275A"/>
            <w:tcMar>
              <w:top w:w="80" w:type="dxa"/>
              <w:start w:w="90" w:type="dxa"/>
              <w:bottom w:w="80" w:type="dxa"/>
              <w:end w:w="90" w:type="dxa"/>
            </w:tcMar>
          </w:tcPr>
          <w:p>
            <w:pPr>
              <w:spacing w:after="0"/>
            </w:pPr>
            <w:r>
              <w:rPr>
                <w:rFonts w:ascii="Calibri" w:hAnsi="Calibri" w:cs="Calibri"/>
                <w:b/>
                <w:color w:val="FFFFFF"/>
                <w:sz w:val="16"/>
              </w:rPr>
              <w:t>Opis</w:t>
            </w:r>
          </w:p>
        </w:tc>
      </w:tr>
      <w:tr>
        <w:trPr>
          <w:cantSplit/>
        </w:trPr>
        <w:tc>
          <w:tcPr>
            <w:tcW w:type="dxa" w:w="2700"/>
            <w:vAlign w:val="top"/>
            <w:tcMar>
              <w:top w:w="80" w:type="dxa"/>
              <w:start w:w="90" w:type="dxa"/>
              <w:bottom w:w="80" w:type="dxa"/>
              <w:end w:w="90" w:type="dxa"/>
            </w:tcMar>
          </w:tcPr>
          <w:p>
            <w:pPr>
              <w:spacing w:after="0" w:line="252" w:lineRule="auto"/>
            </w:pPr>
            <w:r>
              <w:rPr>
                <w:rFonts w:ascii="Calibri" w:hAnsi="Calibri" w:cs="Calibri"/>
                <w:color w:val="1A1A2E"/>
                <w:sz w:val="16"/>
              </w:rPr>
              <w:t>Predmet</w:t>
            </w:r>
          </w:p>
        </w:tc>
        <w:tc>
          <w:tcPr>
            <w:tcW w:type="dxa" w:w="5740"/>
            <w:vAlign w:val="top"/>
            <w:tcMar>
              <w:top w:w="80" w:type="dxa"/>
              <w:start w:w="90" w:type="dxa"/>
              <w:bottom w:w="80" w:type="dxa"/>
              <w:end w:w="90" w:type="dxa"/>
            </w:tcMar>
          </w:tcPr>
          <w:p>
            <w:pPr>
              <w:spacing w:after="0" w:line="252" w:lineRule="auto"/>
            </w:pPr>
            <w:r>
              <w:rPr>
                <w:rFonts w:ascii="Calibri" w:hAnsi="Calibri" w:cs="Calibri"/>
                <w:color w:val="1A1A2E"/>
                <w:sz w:val="16"/>
              </w:rPr>
              <w:t>Prevádzka B2B SaaS Reevals, dátové importy a zber, produktové párovanie, monitoring, cenové pracovné postupy, reporty, exporty, API, integrácie, podpora a bezpečnosť podľa konfigurácie zákazníka.</w:t>
            </w:r>
          </w:p>
        </w:tc>
      </w:tr>
      <w:tr>
        <w:trPr>
          <w:cantSplit/>
        </w:trPr>
        <w:tc>
          <w:tcPr>
            <w:tcW w:type="dxa" w:w="27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Povaha operácií</w:t>
            </w:r>
          </w:p>
        </w:tc>
        <w:tc>
          <w:tcPr>
            <w:tcW w:type="dxa" w:w="57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Prijatie, prenos, uloženie, usporiadanie, normalizácia, porovnanie, vyhľadanie, zobrazenie, analýza, export, obmedzenie, zálohovanie a vymazanie.</w:t>
            </w:r>
          </w:p>
        </w:tc>
      </w:tr>
      <w:tr>
        <w:trPr>
          <w:cantSplit/>
        </w:trPr>
        <w:tc>
          <w:tcPr>
            <w:tcW w:type="dxa" w:w="2700"/>
            <w:vAlign w:val="top"/>
            <w:tcMar>
              <w:top w:w="80" w:type="dxa"/>
              <w:start w:w="90" w:type="dxa"/>
              <w:bottom w:w="80" w:type="dxa"/>
              <w:end w:w="90" w:type="dxa"/>
            </w:tcMar>
          </w:tcPr>
          <w:p>
            <w:pPr>
              <w:spacing w:after="0" w:line="252" w:lineRule="auto"/>
            </w:pPr>
            <w:r>
              <w:rPr>
                <w:rFonts w:ascii="Calibri" w:hAnsi="Calibri" w:cs="Calibri"/>
                <w:color w:val="1A1A2E"/>
                <w:sz w:val="16"/>
              </w:rPr>
              <w:t>Účel</w:t>
            </w:r>
          </w:p>
        </w:tc>
        <w:tc>
          <w:tcPr>
            <w:tcW w:type="dxa" w:w="5740"/>
            <w:vAlign w:val="top"/>
            <w:tcMar>
              <w:top w:w="80" w:type="dxa"/>
              <w:start w:w="90" w:type="dxa"/>
              <w:bottom w:w="80" w:type="dxa"/>
              <w:end w:w="90" w:type="dxa"/>
            </w:tcMar>
          </w:tcPr>
          <w:p>
            <w:pPr>
              <w:spacing w:after="0" w:line="252" w:lineRule="auto"/>
            </w:pPr>
            <w:r>
              <w:rPr>
                <w:rFonts w:ascii="Calibri" w:hAnsi="Calibri" w:cs="Calibri"/>
                <w:color w:val="1A1A2E"/>
                <w:sz w:val="16"/>
              </w:rPr>
              <w:t>Poskytnutie funkcií objednaných a nakonfigurovaných zákazníkom, zabezpečenie služby, riešenie podpory a splnenie zdokumentovaných pokynov.</w:t>
            </w:r>
          </w:p>
        </w:tc>
      </w:tr>
      <w:tr>
        <w:trPr>
          <w:cantSplit/>
        </w:trPr>
        <w:tc>
          <w:tcPr>
            <w:tcW w:type="dxa" w:w="27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Trvanie</w:t>
            </w:r>
          </w:p>
        </w:tc>
        <w:tc>
          <w:tcPr>
            <w:tcW w:type="dxa" w:w="57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Počas Zmluvy a následnej lehoty na export, vymazanie a bezpečné vyradenie záloh.</w:t>
            </w:r>
          </w:p>
        </w:tc>
      </w:tr>
      <w:tr>
        <w:trPr>
          <w:cantSplit/>
        </w:trPr>
        <w:tc>
          <w:tcPr>
            <w:tcW w:type="dxa" w:w="2700"/>
            <w:vAlign w:val="top"/>
            <w:tcMar>
              <w:top w:w="80" w:type="dxa"/>
              <w:start w:w="90" w:type="dxa"/>
              <w:bottom w:w="80" w:type="dxa"/>
              <w:end w:w="90" w:type="dxa"/>
            </w:tcMar>
          </w:tcPr>
          <w:p>
            <w:pPr>
              <w:spacing w:after="0" w:line="252" w:lineRule="auto"/>
            </w:pPr>
            <w:r>
              <w:rPr>
                <w:rFonts w:ascii="Calibri" w:hAnsi="Calibri" w:cs="Calibri"/>
                <w:color w:val="1A1A2E"/>
                <w:sz w:val="16"/>
              </w:rPr>
              <w:t>Dotknuté osoby</w:t>
            </w:r>
          </w:p>
        </w:tc>
        <w:tc>
          <w:tcPr>
            <w:tcW w:type="dxa" w:w="5740"/>
            <w:vAlign w:val="top"/>
            <w:tcMar>
              <w:top w:w="80" w:type="dxa"/>
              <w:start w:w="90" w:type="dxa"/>
              <w:bottom w:w="80" w:type="dxa"/>
              <w:end w:w="90" w:type="dxa"/>
            </w:tcMar>
          </w:tcPr>
          <w:p>
            <w:pPr>
              <w:spacing w:after="0" w:line="252" w:lineRule="auto"/>
            </w:pPr>
            <w:r>
              <w:rPr>
                <w:rFonts w:ascii="Calibri" w:hAnsi="Calibri" w:cs="Calibri"/>
                <w:color w:val="1A1A2E"/>
                <w:sz w:val="16"/>
              </w:rPr>
              <w:t>Oprávnení používatelia zákazníka, zamestnanci a kontaktné osoby zákazníka, jeho dodávateľov, partnerov alebo klientov a ďalšie osoby, ktorých údaje zákazník zákonne vloží alebo sprístupní.</w:t>
            </w:r>
          </w:p>
        </w:tc>
      </w:tr>
      <w:tr>
        <w:trPr>
          <w:cantSplit/>
        </w:trPr>
        <w:tc>
          <w:tcPr>
            <w:tcW w:type="dxa" w:w="27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Kategórie údajov</w:t>
            </w:r>
          </w:p>
        </w:tc>
        <w:tc>
          <w:tcPr>
            <w:tcW w:type="dxa" w:w="57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Identifikačné, kontaktné a pracovné údaje, používateľské identifikátory, role, auditné udalosti, komunikačné údaje, online identifikátory, obchodné a produktové údaje, údaje integrácií a iné údaje určené zákazníkom.</w:t>
            </w:r>
          </w:p>
        </w:tc>
      </w:tr>
      <w:tr>
        <w:trPr>
          <w:cantSplit/>
        </w:trPr>
        <w:tc>
          <w:tcPr>
            <w:tcW w:type="dxa" w:w="2700"/>
            <w:vAlign w:val="top"/>
            <w:tcMar>
              <w:top w:w="80" w:type="dxa"/>
              <w:start w:w="90" w:type="dxa"/>
              <w:bottom w:w="80" w:type="dxa"/>
              <w:end w:w="90" w:type="dxa"/>
            </w:tcMar>
          </w:tcPr>
          <w:p>
            <w:pPr>
              <w:spacing w:after="0" w:line="252" w:lineRule="auto"/>
            </w:pPr>
            <w:r>
              <w:rPr>
                <w:rFonts w:ascii="Calibri" w:hAnsi="Calibri" w:cs="Calibri"/>
                <w:color w:val="1A1A2E"/>
                <w:sz w:val="16"/>
              </w:rPr>
              <w:t>Citlivé údaje</w:t>
            </w:r>
          </w:p>
        </w:tc>
        <w:tc>
          <w:tcPr>
            <w:tcW w:type="dxa" w:w="5740"/>
            <w:vAlign w:val="top"/>
            <w:tcMar>
              <w:top w:w="80" w:type="dxa"/>
              <w:start w:w="90" w:type="dxa"/>
              <w:bottom w:w="80" w:type="dxa"/>
              <w:end w:w="90" w:type="dxa"/>
            </w:tcMar>
          </w:tcPr>
          <w:p>
            <w:pPr>
              <w:spacing w:after="0" w:line="252" w:lineRule="auto"/>
            </w:pPr>
            <w:r>
              <w:rPr>
                <w:rFonts w:ascii="Calibri" w:hAnsi="Calibri" w:cs="Calibri"/>
                <w:color w:val="1A1A2E"/>
                <w:sz w:val="16"/>
              </w:rPr>
              <w:t>Služba nie je určená na osobitné kategórie osobných údajov, údaje o trestných činoch ani rozsiahle údaje detí bez osobitnej písomnej dohody.</w:t>
            </w:r>
          </w:p>
        </w:tc>
      </w:tr>
      <w:tr>
        <w:trPr>
          <w:cantSplit/>
        </w:trPr>
        <w:tc>
          <w:tcPr>
            <w:tcW w:type="dxa" w:w="27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Frekvencia</w:t>
            </w:r>
          </w:p>
        </w:tc>
        <w:tc>
          <w:tcPr>
            <w:tcW w:type="dxa" w:w="57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Priebežne alebo podľa harmonogramu, konfigurácie, API volaní a pokynov zákazníka.</w:t>
            </w:r>
          </w:p>
        </w:tc>
      </w:tr>
      <w:tr>
        <w:trPr>
          <w:cantSplit/>
        </w:trPr>
        <w:tc>
          <w:tcPr>
            <w:tcW w:type="dxa" w:w="2700"/>
            <w:vAlign w:val="top"/>
            <w:tcMar>
              <w:top w:w="80" w:type="dxa"/>
              <w:start w:w="90" w:type="dxa"/>
              <w:bottom w:w="80" w:type="dxa"/>
              <w:end w:w="90" w:type="dxa"/>
            </w:tcMar>
          </w:tcPr>
          <w:p>
            <w:pPr>
              <w:spacing w:after="0" w:line="252" w:lineRule="auto"/>
            </w:pPr>
            <w:r>
              <w:rPr>
                <w:rFonts w:ascii="Calibri" w:hAnsi="Calibri" w:cs="Calibri"/>
                <w:color w:val="1A1A2E"/>
                <w:sz w:val="16"/>
              </w:rPr>
              <w:t>Výmaz</w:t>
            </w:r>
          </w:p>
        </w:tc>
        <w:tc>
          <w:tcPr>
            <w:tcW w:type="dxa" w:w="5740"/>
            <w:vAlign w:val="top"/>
            <w:tcMar>
              <w:top w:w="80" w:type="dxa"/>
              <w:start w:w="90" w:type="dxa"/>
              <w:bottom w:w="80" w:type="dxa"/>
              <w:end w:w="90" w:type="dxa"/>
            </w:tcMar>
          </w:tcPr>
          <w:p>
            <w:pPr>
              <w:spacing w:after="0" w:line="252" w:lineRule="auto"/>
            </w:pPr>
            <w:r>
              <w:rPr>
                <w:rFonts w:ascii="Calibri" w:hAnsi="Calibri" w:cs="Calibri"/>
                <w:color w:val="1A1A2E"/>
                <w:sz w:val="16"/>
              </w:rPr>
              <w:t>Podľa článku 12 DPA, Podmienok používania, konfigurácie a záväzných právnych povinností.</w:t>
            </w:r>
          </w:p>
        </w:tc>
      </w:tr>
    </w:tbl>
    <w:p>
      <w:pPr>
        <w:spacing w:after="40"/>
      </w:pPr>
    </w:p>
    <w:p>
      <w:pPr>
        <w:pStyle w:val="Heading1"/>
      </w:pPr>
      <w:r>
        <w:rPr>
          <w:rFonts w:ascii="Calibri" w:hAnsi="Calibri" w:cs="Calibri"/>
          <w:b/>
          <w:color w:val="1A1A2E"/>
          <w:sz w:val="26"/>
        </w:rPr>
        <w:t>Príloha 2. Základné technické a organizačné opatrenia</w:t>
      </w:r>
    </w:p>
    <w:p>
      <w:pPr>
        <w:pStyle w:val="ListBullet"/>
        <w:widowControl/>
        <w:jc w:val="both"/>
      </w:pPr>
      <w:r>
        <w:rPr>
          <w:rFonts w:ascii="Calibri" w:hAnsi="Calibri" w:cs="Calibri"/>
          <w:color w:val="1A1A2E"/>
          <w:sz w:val="21"/>
        </w:rPr>
        <w:t>Riadenie identít a prístupov s individuálnymi účtami, rolami a zásadou najmenších oprávnení.</w:t>
      </w:r>
    </w:p>
    <w:p>
      <w:pPr>
        <w:pStyle w:val="ListBullet"/>
        <w:widowControl/>
        <w:jc w:val="both"/>
      </w:pPr>
      <w:r>
        <w:rPr>
          <w:rFonts w:ascii="Calibri" w:hAnsi="Calibri" w:cs="Calibri"/>
          <w:color w:val="1A1A2E"/>
          <w:sz w:val="21"/>
        </w:rPr>
        <w:t>Logické oddelenie zákazníckych účtov a kontroly vlastníctva dát na aplikačnej vrstve.</w:t>
      </w:r>
    </w:p>
    <w:p>
      <w:pPr>
        <w:pStyle w:val="ListBullet"/>
        <w:widowControl/>
        <w:jc w:val="both"/>
      </w:pPr>
      <w:r>
        <w:rPr>
          <w:rFonts w:ascii="Calibri" w:hAnsi="Calibri" w:cs="Calibri"/>
          <w:color w:val="1A1A2E"/>
          <w:sz w:val="21"/>
        </w:rPr>
        <w:t>Šifrovanie prenosu pomocou aktuálnych protokolov a ochrana citlivých poverení alebo tokenov v úložisku.</w:t>
      </w:r>
    </w:p>
    <w:p>
      <w:pPr>
        <w:pStyle w:val="ListBullet"/>
        <w:widowControl/>
        <w:jc w:val="both"/>
      </w:pPr>
      <w:r>
        <w:rPr>
          <w:rFonts w:ascii="Calibri" w:hAnsi="Calibri" w:cs="Calibri"/>
          <w:color w:val="1A1A2E"/>
          <w:sz w:val="21"/>
        </w:rPr>
        <w:t>Hashovanie používateľských hesiel a ochrana prihlasovacích a obnovovacích procesov.</w:t>
      </w:r>
    </w:p>
    <w:p>
      <w:pPr>
        <w:pStyle w:val="ListBullet"/>
        <w:widowControl/>
        <w:jc w:val="both"/>
      </w:pPr>
      <w:r>
        <w:rPr>
          <w:rFonts w:ascii="Calibri" w:hAnsi="Calibri" w:cs="Calibri"/>
          <w:color w:val="1A1A2E"/>
          <w:sz w:val="21"/>
        </w:rPr>
        <w:t>Auditné, prevádzkové a bezpečnostné záznamy primerané riziku a potrebe diagnostiky.</w:t>
      </w:r>
    </w:p>
    <w:p>
      <w:pPr>
        <w:pStyle w:val="ListBullet"/>
        <w:widowControl/>
        <w:jc w:val="both"/>
      </w:pPr>
      <w:r>
        <w:rPr>
          <w:rFonts w:ascii="Calibri" w:hAnsi="Calibri" w:cs="Calibri"/>
          <w:color w:val="1A1A2E"/>
          <w:sz w:val="21"/>
        </w:rPr>
        <w:t>Správa aktualizácií, závislostí, zraniteľností a zmien v produkčnom prostredí.</w:t>
      </w:r>
    </w:p>
    <w:p>
      <w:pPr>
        <w:pStyle w:val="ListBullet"/>
        <w:widowControl/>
        <w:jc w:val="both"/>
      </w:pPr>
      <w:r>
        <w:rPr>
          <w:rFonts w:ascii="Calibri" w:hAnsi="Calibri" w:cs="Calibri"/>
          <w:color w:val="1A1A2E"/>
          <w:sz w:val="21"/>
        </w:rPr>
        <w:t>Zálohovanie, obnova a postupy kontinuity primerané službe a objednanému rozsahu.</w:t>
      </w:r>
    </w:p>
    <w:p>
      <w:pPr>
        <w:pStyle w:val="ListBullet"/>
        <w:widowControl/>
        <w:jc w:val="both"/>
      </w:pPr>
      <w:r>
        <w:rPr>
          <w:rFonts w:ascii="Calibri" w:hAnsi="Calibri" w:cs="Calibri"/>
          <w:color w:val="1A1A2E"/>
          <w:sz w:val="21"/>
        </w:rPr>
        <w:t>Postupy riadenia bezpečnostných incidentov, eskalácie, komunikácie a nápravy.</w:t>
      </w:r>
    </w:p>
    <w:p>
      <w:pPr>
        <w:pStyle w:val="ListBullet"/>
        <w:widowControl/>
        <w:jc w:val="both"/>
      </w:pPr>
      <w:r>
        <w:rPr>
          <w:rFonts w:ascii="Calibri" w:hAnsi="Calibri" w:cs="Calibri"/>
          <w:color w:val="1A1A2E"/>
          <w:sz w:val="21"/>
        </w:rPr>
        <w:t>Dôvernosť pracovníkov, bezpečnostné školenie a pravidelná kontrola prístupov.</w:t>
      </w:r>
    </w:p>
    <w:p>
      <w:pPr>
        <w:pStyle w:val="ListBullet"/>
        <w:widowControl/>
        <w:jc w:val="both"/>
      </w:pPr>
      <w:r>
        <w:rPr>
          <w:rFonts w:ascii="Calibri" w:hAnsi="Calibri" w:cs="Calibri"/>
          <w:color w:val="1A1A2E"/>
          <w:sz w:val="21"/>
        </w:rPr>
        <w:t>Hodnotenie dodávateľov a zmluvné povinnosti ďalších sprostredkovateľov.</w:t>
      </w:r>
    </w:p>
    <w:p>
      <w:pPr>
        <w:pStyle w:val="ListBullet"/>
        <w:widowControl/>
        <w:jc w:val="both"/>
      </w:pPr>
      <w:r>
        <w:rPr>
          <w:rFonts w:ascii="Calibri" w:hAnsi="Calibri" w:cs="Calibri"/>
          <w:color w:val="1A1A2E"/>
          <w:sz w:val="21"/>
        </w:rPr>
        <w:t>Bezpečný vývoj, kontrola vstupov, ochrana tajomstiev a oddelenie vývojových a produkčných oprávnení podľa primeranosti.</w:t>
      </w:r>
    </w:p>
    <w:p>
      <w:pPr>
        <w:pStyle w:val="ListBullet"/>
        <w:widowControl/>
        <w:jc w:val="both"/>
      </w:pPr>
      <w:r>
        <w:rPr>
          <w:rFonts w:ascii="Calibri" w:hAnsi="Calibri" w:cs="Calibri"/>
          <w:color w:val="1A1A2E"/>
          <w:sz w:val="21"/>
        </w:rPr>
        <w:t>Pravidelné preskúmanie účinnosti opatrení a úprava podľa rizika, incidentov a vývoja stavu techniky.</w:t>
      </w:r>
    </w:p>
    <w:p>
      <w:pPr>
        <w:pStyle w:val="Heading1"/>
      </w:pPr>
      <w:r>
        <w:rPr>
          <w:rFonts w:ascii="Calibri" w:hAnsi="Calibri" w:cs="Calibri"/>
          <w:b/>
          <w:color w:val="1A1A2E"/>
          <w:sz w:val="26"/>
        </w:rPr>
        <w:t>Príloha 3. Ďalší sprostredkovatelia</w:t>
      </w:r>
    </w:p>
    <w:p>
      <w:pPr>
        <w:widowControl/>
        <w:jc w:val="both"/>
      </w:pPr>
      <w:r>
        <w:rPr>
          <w:rFonts w:ascii="Calibri" w:hAnsi="Calibri" w:cs="Calibri"/>
          <w:color w:val="1A1A2E"/>
          <w:sz w:val="21"/>
        </w:rPr>
        <w:t>Aktuálny zoznam externých poskytovateľov, ich účel, miesto spracúvania a podmienenosť aktiváciou funkcie je zverejnený na stránke /subprocessors. Táto stránka tvorí priebežne aktualizovateľnú prílohu DPA.</w:t>
      </w:r>
    </w:p>
    <w:p>
      <w:pPr>
        <w:widowControl/>
        <w:jc w:val="both"/>
      </w:pPr>
      <w:r>
        <w:rPr>
          <w:rFonts w:ascii="Calibri" w:hAnsi="Calibri" w:cs="Calibri"/>
          <w:color w:val="1A1A2E"/>
          <w:sz w:val="21"/>
        </w:rPr>
        <w:t>Kontaktný e-mail pre námietky, bezpečnostné otázky a žiadosti podľa DPA je support@reevals.com. DPA verzia 1.0 je účinná od 25. augusta 2026.</w:t>
      </w:r>
    </w:p>
    <w:sectPr w:rsidR="00FC693F" w:rsidRPr="0006063C" w:rsidSect="00034616">
      <w:headerReference w:type="default" r:id="rId9"/>
      <w:footerReference w:type="default" r:id="rId10"/>
      <w:pgSz w:w="11906" w:h="16838"/>
      <w:pgMar w:top="1332" w:right="1729" w:bottom="1332" w:left="1729"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s="Calibri"/>
        <w:color w:val="666666"/>
        <w:sz w:val="17"/>
      </w:rPr>
      <w:t xml:space="preserve">Reevals  •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s="Calibri"/>
        <w:b/>
        <w:color w:val="666666"/>
        <w:sz w:val="17"/>
      </w:rPr>
      <w:t>REEVALS  •  LEGAL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6" w:lineRule="auto"/>
    </w:pPr>
    <w:rPr>
      <w:rFonts w:ascii="Calibri" w:hAnsi="Calibri"/>
      <w:color w:val="1A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Calibri" w:hAnsi="Calibri"/>
      <w:b/>
      <w:bCs/>
      <w:color w:val="1A1A2E"/>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4F46E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ind w:left="425" w:hanging="198"/>
      <w:contextualSpacing/>
    </w:pPr>
    <w:rPr>
      <w:rFonts w:ascii="Calibri" w:hAnsi="Calibri"/>
      <w:color w:val="1A1A2E"/>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evalsCallout">
    <w:name w:val="Reevals Callout"/>
    <w:pPr>
      <w:spacing w:before="80" w:after="140" w:line="264" w:lineRule="auto"/>
      <w:ind w:left="125" w:right="125"/>
    </w:pPr>
    <w:rPr>
      <w:rFonts w:ascii="Calibri" w:hAnsi="Calibri"/>
      <w:color w:val="1A1A2E"/>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spracúvaní osobných údajov</dc:title>
  <dc:subject>Reevals legal document version 1.0</dc:subject>
  <dc:creator>CREALAB s.r.o.</dc:creator>
  <cp:keywords>Reevals, GDPR, SaaS, privacy, DPA, cookies</cp:keywords>
  <dc:description>generated by python-docx</dc:description>
  <cp:lastModifiedBy/>
  <cp:revision>1</cp:revision>
  <dcterms:created xsi:type="dcterms:W3CDTF">2013-12-23T23:15:00Z</dcterms:created>
  <dcterms:modified xsi:type="dcterms:W3CDTF">2013-12-23T23:15:00Z</dcterms:modified>
  <cp:category/>
</cp:coreProperties>
</file>