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</w:pPr>
    </w:p>
    <w:p>
      <w:pPr>
        <w:spacing w:after="100"/>
        <w:jc w:val="center"/>
      </w:pPr>
      <w:r>
        <w:rPr>
          <w:rFonts w:ascii="Calibri" w:hAnsi="Calibri" w:cs="Calibri"/>
          <w:b/>
          <w:color w:val="4F46E5"/>
          <w:sz w:val="18"/>
        </w:rPr>
        <w:t>REEVALS  •  PRÁVNE DOKUMENTY</w:t>
      </w:r>
    </w:p>
    <w:p>
      <w:pPr>
        <w:spacing w:after="160"/>
        <w:jc w:val="center"/>
      </w:pPr>
      <w:r>
        <w:rPr>
          <w:rFonts w:ascii="Calibri" w:hAnsi="Calibri" w:cs="Calibri"/>
          <w:b/>
          <w:color w:val="1A1A2E"/>
          <w:sz w:val="44"/>
        </w:rPr>
        <w:t>Zásady ochrany osobných údajov</w:t>
      </w:r>
    </w:p>
    <w:p>
      <w:pPr>
        <w:spacing w:after="280"/>
        <w:jc w:val="center"/>
      </w:pPr>
      <w:r>
        <w:rPr>
          <w:rFonts w:ascii="Calibri" w:hAnsi="Calibri" w:cs="Calibri"/>
          <w:i/>
          <w:color w:val="666666"/>
          <w:sz w:val="20"/>
        </w:rPr>
        <w:t>Verzia 1.0  •  Účinnosť od 25. augusta 2026</w:t>
      </w:r>
    </w:p>
    <w:p>
      <w:pPr>
        <w:pStyle w:val="ReevalsCallout"/>
        <w:shd w:fill="F3F2FF"/>
        <w:pBdr>
          <w:top w:val="single" w:sz="6" w:space="5" w:color="A5A0F5"/>
          <w:left w:val="single" w:sz="6" w:space="5" w:color="A5A0F5"/>
          <w:bottom w:val="single" w:sz="6" w:space="5" w:color="A5A0F5"/>
          <w:right w:val="single" w:sz="6" w:space="5" w:color="A5A0F5"/>
        </w:pBdr>
        <w:jc w:val="left"/>
      </w:pPr>
      <w:r>
        <w:rPr>
          <w:rFonts w:ascii="Calibri" w:hAnsi="Calibri" w:cs="Calibri"/>
          <w:color w:val="1A1A2E"/>
          <w:sz w:val="20"/>
        </w:rPr>
        <w:t>Tieto zásady vysvetľujú, ako CREALAB s.r.o. spracúva osobné údaje návštevníkov webu, používateľov služby Reevals a kontaktných osôb zákazníkov. Zároveň odlišujú situácie, v ktorých CREALAB koná ako prevádzkovateľ, od spracúvania zákazníckych dát v postavení sprostredkovateľa.</w:t>
      </w:r>
    </w:p>
    <w:p>
      <w:pPr>
        <w:pStyle w:val="Heading1"/>
      </w:pPr>
      <w:r>
        <w:rPr>
          <w:rFonts w:ascii="Calibri" w:hAnsi="Calibri" w:cs="Calibri"/>
          <w:b/>
          <w:color w:val="1A1A2E"/>
          <w:sz w:val="26"/>
        </w:rPr>
        <w:t>1. Prevádzkovateľ a kontakt</w:t>
      </w:r>
    </w:p>
    <w:p>
      <w:pPr>
        <w:widowControl/>
        <w:jc w:val="both"/>
      </w:pPr>
      <w:r>
        <w:rPr>
          <w:rFonts w:ascii="Calibri" w:hAnsi="Calibri" w:cs="Calibri"/>
          <w:color w:val="1A1A2E"/>
          <w:sz w:val="21"/>
        </w:rPr>
        <w:t>Prevádzkovateľom je CREALAB s.r.o., Terézie Vansovej 1167/1, 050 01 Revúca, Slovenská republika, IČO 50 156 896, DIČ 2120193977, IČ DPH SK2120193977, zapísaná v Obchodnom registri Okresného súdu Banská Bystrica, oddiel Sro, vložka číslo 29215/S.</w:t>
      </w:r>
    </w:p>
    <w:p>
      <w:pPr>
        <w:widowControl/>
        <w:jc w:val="both"/>
      </w:pPr>
      <w:r>
        <w:rPr>
          <w:rFonts w:ascii="Calibri" w:hAnsi="Calibri" w:cs="Calibri"/>
          <w:color w:val="1A1A2E"/>
          <w:sz w:val="21"/>
        </w:rPr>
        <w:t>Otázky a žiadosti týkajúce sa ochrany osobných údajov môžete poslať na support@reevals.com alebo poštou na adresu sídla s označením Ochrana osobných údajov. CREALAB nemá ustanovenú zodpovednú osobu podľa článkov 37 až 39 GDPR.</w:t>
      </w:r>
    </w:p>
    <w:p>
      <w:pPr>
        <w:pStyle w:val="Heading1"/>
      </w:pPr>
      <w:r>
        <w:rPr>
          <w:rFonts w:ascii="Calibri" w:hAnsi="Calibri" w:cs="Calibri"/>
          <w:b/>
          <w:color w:val="1A1A2E"/>
          <w:sz w:val="26"/>
        </w:rPr>
        <w:t>2. Rozsah a naše postavenie</w:t>
      </w:r>
    </w:p>
    <w:p>
      <w:pPr>
        <w:widowControl/>
        <w:jc w:val="both"/>
      </w:pPr>
      <w:r>
        <w:rPr>
          <w:rFonts w:ascii="Calibri" w:hAnsi="Calibri" w:cs="Calibri"/>
          <w:color w:val="1A1A2E"/>
          <w:sz w:val="21"/>
        </w:rPr>
        <w:t>Tieto zásady sa vzťahujú na verejný web Reevals, registráciu, používateľské účty, poskytovanie služby, fakturáciu, podporu, bezpečnostné a prevádzkové záznamy, obchodnú komunikáciu a správu preferencií cookies.</w:t>
      </w:r>
    </w:p>
    <w:p>
      <w:pPr>
        <w:widowControl/>
        <w:jc w:val="both"/>
      </w:pPr>
      <w:r>
        <w:rPr>
          <w:rFonts w:ascii="Calibri" w:hAnsi="Calibri" w:cs="Calibri"/>
          <w:color w:val="1A1A2E"/>
          <w:sz w:val="21"/>
        </w:rPr>
        <w:t>Pri údajoch potrebných na správu webu, účtov, zmluvného vzťahu, platieb, podpory, bezpečnosti a vlastnej komunikácie koná CREALAB ako prevádzkovateľ. Ak zákazník vloží do Reevals osobné údaje alebo ich sprístupní cez integráciu a CREALAB ich spracúva iba podľa jeho pokynov pri poskytovaní služby, zákazník je prevádzkovateľom a CREALAB je sprostredkovateľom. Také spracúvanie upravuje DPA.</w:t>
      </w:r>
    </w:p>
    <w:p>
      <w:pPr>
        <w:pStyle w:val="ReevalsCallout"/>
        <w:shd w:fill="F3F2FF"/>
        <w:pBdr>
          <w:top w:val="single" w:sz="6" w:space="5" w:color="A5A0F5"/>
          <w:left w:val="single" w:sz="6" w:space="5" w:color="A5A0F5"/>
          <w:bottom w:val="single" w:sz="6" w:space="5" w:color="A5A0F5"/>
          <w:right w:val="single" w:sz="6" w:space="5" w:color="A5A0F5"/>
        </w:pBdr>
        <w:jc w:val="left"/>
      </w:pPr>
      <w:r>
        <w:rPr>
          <w:rFonts w:ascii="Calibri" w:hAnsi="Calibri" w:cs="Calibri"/>
          <w:color w:val="1A1A2E"/>
          <w:sz w:val="20"/>
        </w:rPr>
        <w:t>Tieto zásady nie sú súhlasom so spracúvaním osobných údajov. Súhlas žiadame osobitne iba vtedy, keď je právnym základom konkrétneho voliteľného spracúvania, napríklad analytických alebo marketingových cookies.</w:t>
      </w:r>
    </w:p>
    <w:p>
      <w:pPr>
        <w:pStyle w:val="Heading1"/>
      </w:pPr>
      <w:r>
        <w:rPr>
          <w:rFonts w:ascii="Calibri" w:hAnsi="Calibri" w:cs="Calibri"/>
          <w:b/>
          <w:color w:val="1A1A2E"/>
          <w:sz w:val="26"/>
        </w:rPr>
        <w:t>3. Kategórie osobných údajov</w:t>
      </w:r>
    </w:p>
    <w:p>
      <w:pPr>
        <w:pStyle w:val="ListBullet"/>
        <w:widowControl/>
        <w:jc w:val="both"/>
      </w:pPr>
      <w:r>
        <w:rPr>
          <w:rFonts w:ascii="Calibri" w:hAnsi="Calibri" w:cs="Calibri"/>
          <w:color w:val="1A1A2E"/>
          <w:sz w:val="21"/>
        </w:rPr>
        <w:t>Identifikačné a kontaktné údaje, najmä meno, priezvisko, pracovný e-mail, telefón a pracovná pozícia.</w:t>
      </w:r>
    </w:p>
    <w:p>
      <w:pPr>
        <w:pStyle w:val="ListBullet"/>
        <w:widowControl/>
        <w:jc w:val="both"/>
      </w:pPr>
      <w:r>
        <w:rPr>
          <w:rFonts w:ascii="Calibri" w:hAnsi="Calibri" w:cs="Calibri"/>
          <w:color w:val="1A1A2E"/>
          <w:sz w:val="21"/>
        </w:rPr>
        <w:t>Údaje o spoločnosti a fakturácii, najmä obchodné meno, sídlo, IČO, DIČ, IČ DPH, fakturačná adresa, plán, objednávky, faktúry a stav platieb.</w:t>
      </w:r>
    </w:p>
    <w:p>
      <w:pPr>
        <w:pStyle w:val="ListBullet"/>
        <w:widowControl/>
        <w:jc w:val="both"/>
      </w:pPr>
      <w:r>
        <w:rPr>
          <w:rFonts w:ascii="Calibri" w:hAnsi="Calibri" w:cs="Calibri"/>
          <w:color w:val="1A1A2E"/>
          <w:sz w:val="21"/>
        </w:rPr>
        <w:t>Údaje účtu a oprávnení, najmä prihlasovací identifikátor, hash hesla, rola, členstvo v spoločnosti, nastavenia, jazyk a stav účtu.</w:t>
      </w:r>
    </w:p>
    <w:p>
      <w:pPr>
        <w:pStyle w:val="ListBullet"/>
        <w:widowControl/>
        <w:jc w:val="both"/>
      </w:pPr>
      <w:r>
        <w:rPr>
          <w:rFonts w:ascii="Calibri" w:hAnsi="Calibri" w:cs="Calibri"/>
          <w:color w:val="1A1A2E"/>
          <w:sz w:val="21"/>
        </w:rPr>
        <w:t>Zmluvné a dôkazné údaje, najmä prijatá verzia Podmienok, čas prijatia, verzia zobrazenej privacy notice, IP adresa a user agent použitý pri registrácii.</w:t>
      </w:r>
    </w:p>
    <w:p>
      <w:pPr>
        <w:pStyle w:val="ListBullet"/>
        <w:widowControl/>
        <w:jc w:val="both"/>
      </w:pPr>
      <w:r>
        <w:rPr>
          <w:rFonts w:ascii="Calibri" w:hAnsi="Calibri" w:cs="Calibri"/>
          <w:color w:val="1A1A2E"/>
          <w:sz w:val="21"/>
        </w:rPr>
        <w:t>Prevádzkové a bezpečnostné údaje, najmä IP adresa, čas prístupu, typ zariadenia a prehliadača, identifikátory relácie, API volania, auditné udalosti, chybové a bezpečnostné logy.</w:t>
      </w:r>
    </w:p>
    <w:p>
      <w:pPr>
        <w:pStyle w:val="ListBullet"/>
        <w:widowControl/>
        <w:jc w:val="both"/>
      </w:pPr>
      <w:r>
        <w:rPr>
          <w:rFonts w:ascii="Calibri" w:hAnsi="Calibri" w:cs="Calibri"/>
          <w:color w:val="1A1A2E"/>
          <w:sz w:val="21"/>
        </w:rPr>
        <w:t>Komunikácia a podpora, najmä obsah správ, prílohy, požiadavky, spätná väzba a záznam riešenia incidentu alebo podpory.</w:t>
      </w:r>
    </w:p>
    <w:p>
      <w:pPr>
        <w:pStyle w:val="ListBullet"/>
        <w:widowControl/>
        <w:jc w:val="both"/>
      </w:pPr>
      <w:r>
        <w:rPr>
          <w:rFonts w:ascii="Calibri" w:hAnsi="Calibri" w:cs="Calibri"/>
          <w:color w:val="1A1A2E"/>
          <w:sz w:val="21"/>
        </w:rPr>
        <w:t>Údaje o používaní služby, najmä použité funkcie, konfigurácie, objemy, pracovné postupy, schválenia a interakcie potrebné na prevádzku a ochranu služby.</w:t>
      </w:r>
    </w:p>
    <w:p>
      <w:pPr>
        <w:pStyle w:val="ListBullet"/>
        <w:widowControl/>
        <w:jc w:val="both"/>
      </w:pPr>
      <w:r>
        <w:rPr>
          <w:rFonts w:ascii="Calibri" w:hAnsi="Calibri" w:cs="Calibri"/>
          <w:color w:val="1A1A2E"/>
          <w:sz w:val="21"/>
        </w:rPr>
        <w:t>Údaje integrácií, najmä identifikátory pripojených účtov, rozsahy oprávnení, šifrované tokeny a technické metadáta, ak zákazník integráciu výslovne aktivuje.</w:t>
      </w:r>
    </w:p>
    <w:p>
      <w:pPr>
        <w:pStyle w:val="ListBullet"/>
        <w:widowControl/>
        <w:jc w:val="both"/>
      </w:pPr>
      <w:r>
        <w:rPr>
          <w:rFonts w:ascii="Calibri" w:hAnsi="Calibri" w:cs="Calibri"/>
          <w:color w:val="1A1A2E"/>
          <w:sz w:val="21"/>
        </w:rPr>
        <w:t>Preferencie a súhlasy, najmä voľby cookies, marketingové preferencie a dôkaz udelenia alebo odvolania súhlasu.</w:t>
      </w:r>
    </w:p>
    <w:p>
      <w:pPr>
        <w:pStyle w:val="Heading1"/>
      </w:pPr>
      <w:r>
        <w:rPr>
          <w:rFonts w:ascii="Calibri" w:hAnsi="Calibri" w:cs="Calibri"/>
          <w:b/>
          <w:color w:val="1A1A2E"/>
          <w:sz w:val="26"/>
        </w:rPr>
        <w:t>4. Účely a právne základy</w:t>
      </w:r>
    </w:p>
    <w:tbl>
      <w:tblPr>
        <w:tblStyle w:val="TableGrid"/>
        <w:tblW w:type="dxa" w:w="8440"/>
        <w:jc w:val="center"/>
        <w:tblLayout w:type="fixed"/>
        <w:tblLook w:firstColumn="1" w:firstRow="1" w:lastColumn="0" w:lastRow="0" w:noHBand="0" w:noVBand="1" w:val="04A0"/>
      </w:tblPr>
      <w:tblGrid>
        <w:gridCol w:w="2000"/>
        <w:gridCol w:w="3100"/>
        <w:gridCol w:w="3340"/>
      </w:tblGrid>
      <w:tr>
        <w:trPr>
          <w:tblHeader w:val="true"/>
          <w:cantSplit/>
        </w:trPr>
        <w:tc>
          <w:tcPr>
            <w:tcW w:type="dxa" w:w="2000"/>
            <w:vAlign w:val="center"/>
            <w:shd w:fill="29275A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FFFFFF"/>
                <w:sz w:val="16"/>
              </w:rPr>
              <w:t>Účel</w:t>
            </w:r>
          </w:p>
        </w:tc>
        <w:tc>
          <w:tcPr>
            <w:tcW w:type="dxa" w:w="3100"/>
            <w:vAlign w:val="center"/>
            <w:shd w:fill="29275A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FFFFFF"/>
                <w:sz w:val="16"/>
              </w:rPr>
              <w:t>Údaje</w:t>
            </w:r>
          </w:p>
        </w:tc>
        <w:tc>
          <w:tcPr>
            <w:tcW w:type="dxa" w:w="3340"/>
            <w:vAlign w:val="center"/>
            <w:shd w:fill="29275A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FFFFFF"/>
                <w:sz w:val="16"/>
              </w:rPr>
              <w:t>Právny základ</w:t>
            </w:r>
          </w:p>
        </w:tc>
      </w:tr>
      <w:tr>
        <w:trPr>
          <w:cantSplit/>
        </w:trPr>
        <w:tc>
          <w:tcPr>
            <w:tcW w:type="dxa" w:w="200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Zobrazenie webu, zabezpečenie prenosu a nevyhnutné cookies</w:t>
            </w:r>
          </w:p>
        </w:tc>
        <w:tc>
          <w:tcPr>
            <w:tcW w:type="dxa" w:w="310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IP adresa, technické logy, relácia a bezpečnostné identifikátory</w:t>
            </w:r>
          </w:p>
        </w:tc>
        <w:tc>
          <w:tcPr>
            <w:tcW w:type="dxa" w:w="334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Oprávnený záujem na bezpečnej prevádzke. Pri nevyhnutnom uložení údajov do zariadenia sa uplatní zákonná výnimka pre službu výslovne požadovanú používateľom.</w:t>
            </w:r>
          </w:p>
        </w:tc>
      </w:tr>
      <w:tr>
        <w:trPr>
          <w:cantSplit/>
        </w:trPr>
        <w:tc>
          <w:tcPr>
            <w:tcW w:type="dxa" w:w="200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  <w:shd w:fill="F6F6FA"/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Registrácia, účet a poskytovanie Reevals</w:t>
            </w:r>
          </w:p>
        </w:tc>
        <w:tc>
          <w:tcPr>
            <w:tcW w:type="dxa" w:w="310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  <w:shd w:fill="F6F6FA"/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Identifikačné, kontaktné, firemné, účtové a prevádzkové údaje</w:t>
            </w:r>
          </w:p>
        </w:tc>
        <w:tc>
          <w:tcPr>
            <w:tcW w:type="dxa" w:w="334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  <w:shd w:fill="F6F6FA"/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Plnenie zmluvy pri fyzickej osobe podnikateľovi. Oprávnený záujem na uzatvorení a plnení B2B zmluvy pri zamestnancoch a zástupcoch zákazníka.</w:t>
            </w:r>
          </w:p>
        </w:tc>
      </w:tr>
      <w:tr>
        <w:trPr>
          <w:cantSplit/>
        </w:trPr>
        <w:tc>
          <w:tcPr>
            <w:tcW w:type="dxa" w:w="200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Preukázanie prijatia Podmienok</w:t>
            </w:r>
          </w:p>
        </w:tc>
        <w:tc>
          <w:tcPr>
            <w:tcW w:type="dxa" w:w="310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Verzia dokumentov, čas, IP adresa a user agent</w:t>
            </w:r>
          </w:p>
        </w:tc>
        <w:tc>
          <w:tcPr>
            <w:tcW w:type="dxa" w:w="334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Oprávnený záujem na preukázaní vzniku a obsahu zmluvného vzťahu a na ochrane právnych nárokov.</w:t>
            </w:r>
          </w:p>
        </w:tc>
      </w:tr>
      <w:tr>
        <w:trPr>
          <w:cantSplit/>
        </w:trPr>
        <w:tc>
          <w:tcPr>
            <w:tcW w:type="dxa" w:w="200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  <w:shd w:fill="F6F6FA"/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Fakturácia, účtovníctvo a platby</w:t>
            </w:r>
          </w:p>
        </w:tc>
        <w:tc>
          <w:tcPr>
            <w:tcW w:type="dxa" w:w="310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  <w:shd w:fill="F6F6FA"/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Firemné, fakturačné, transakčné a kontaktné údaje</w:t>
            </w:r>
          </w:p>
        </w:tc>
        <w:tc>
          <w:tcPr>
            <w:tcW w:type="dxa" w:w="334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  <w:shd w:fill="F6F6FA"/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Plnenie zmluvy a splnenie zákonných povinností v oblasti účtovníctva a daní.</w:t>
            </w:r>
          </w:p>
        </w:tc>
      </w:tr>
      <w:tr>
        <w:trPr>
          <w:cantSplit/>
        </w:trPr>
        <w:tc>
          <w:tcPr>
            <w:tcW w:type="dxa" w:w="200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Podpora a prevádzková komunikácia</w:t>
            </w:r>
          </w:p>
        </w:tc>
        <w:tc>
          <w:tcPr>
            <w:tcW w:type="dxa" w:w="310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Kontaktné údaje, obsah požiadavky, prílohy a technické údaje</w:t>
            </w:r>
          </w:p>
        </w:tc>
        <w:tc>
          <w:tcPr>
            <w:tcW w:type="dxa" w:w="334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Plnenie zmluvy a oprávnený záujem na riešení požiadaviek a zlepšovaní podpory.</w:t>
            </w:r>
          </w:p>
        </w:tc>
      </w:tr>
      <w:tr>
        <w:trPr>
          <w:cantSplit/>
        </w:trPr>
        <w:tc>
          <w:tcPr>
            <w:tcW w:type="dxa" w:w="200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  <w:shd w:fill="F6F6FA"/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Bezpečnosť, prevencia podvodov a ochrana služby</w:t>
            </w:r>
          </w:p>
        </w:tc>
        <w:tc>
          <w:tcPr>
            <w:tcW w:type="dxa" w:w="310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  <w:shd w:fill="F6F6FA"/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Prihlásenia, IP adresy, logy, auditné udalosti a signály zneužitia</w:t>
            </w:r>
          </w:p>
        </w:tc>
        <w:tc>
          <w:tcPr>
            <w:tcW w:type="dxa" w:w="334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  <w:shd w:fill="F6F6FA"/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Oprávnený záujem na ochrane zákazníkov, služby, sietí a práv CREALAB. Zákonná povinnosť, ak ju ukladá osobitný predpis.</w:t>
            </w:r>
          </w:p>
        </w:tc>
      </w:tr>
      <w:tr>
        <w:trPr>
          <w:cantSplit/>
        </w:trPr>
        <w:tc>
          <w:tcPr>
            <w:tcW w:type="dxa" w:w="200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Obhajoba a uplatňovanie právnych nárokov</w:t>
            </w:r>
          </w:p>
        </w:tc>
        <w:tc>
          <w:tcPr>
            <w:tcW w:type="dxa" w:w="310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Zmluvné, komunikačné, platobné a auditné údaje</w:t>
            </w:r>
          </w:p>
        </w:tc>
        <w:tc>
          <w:tcPr>
            <w:tcW w:type="dxa" w:w="334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Oprávnený záujem na preukazovaní, uplatňovaní a obhajovaní právnych nárokov.</w:t>
            </w:r>
          </w:p>
        </w:tc>
      </w:tr>
      <w:tr>
        <w:trPr>
          <w:cantSplit/>
        </w:trPr>
        <w:tc>
          <w:tcPr>
            <w:tcW w:type="dxa" w:w="200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  <w:shd w:fill="F6F6FA"/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Voliteľná produktová analytika webu</w:t>
            </w:r>
          </w:p>
        </w:tc>
        <w:tc>
          <w:tcPr>
            <w:tcW w:type="dxa" w:w="310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  <w:shd w:fill="F6F6FA"/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Online identifikátory a údaje o interakcii</w:t>
            </w:r>
          </w:p>
        </w:tc>
        <w:tc>
          <w:tcPr>
            <w:tcW w:type="dxa" w:w="334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  <w:shd w:fill="F6F6FA"/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Súhlas. V deň účinnosti týchto zásad nie je na verejnom webe aktívny GA4, GTM ani porovnateľný analytický nástroj.</w:t>
            </w:r>
          </w:p>
        </w:tc>
      </w:tr>
      <w:tr>
        <w:trPr>
          <w:cantSplit/>
        </w:trPr>
        <w:tc>
          <w:tcPr>
            <w:tcW w:type="dxa" w:w="200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Voliteľný marketing a personalizácia</w:t>
            </w:r>
          </w:p>
        </w:tc>
        <w:tc>
          <w:tcPr>
            <w:tcW w:type="dxa" w:w="310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Kontaktné údaje, preferencie a marketingové interakcie</w:t>
            </w:r>
          </w:p>
        </w:tc>
        <w:tc>
          <w:tcPr>
            <w:tcW w:type="dxa" w:w="334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Súhlas, ak je vyžiadaný. Odhlásenie nemá vplyv na servisné, bezpečnostné a zmluvné správy.</w:t>
            </w:r>
          </w:p>
        </w:tc>
      </w:tr>
      <w:tr>
        <w:trPr>
          <w:cantSplit/>
        </w:trPr>
        <w:tc>
          <w:tcPr>
            <w:tcW w:type="dxa" w:w="200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  <w:shd w:fill="F6F6FA"/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Integrácie aktivované zákazníkom</w:t>
            </w:r>
          </w:p>
        </w:tc>
        <w:tc>
          <w:tcPr>
            <w:tcW w:type="dxa" w:w="310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  <w:shd w:fill="F6F6FA"/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Identifikátory účtu, rozsahy, šifrované tokeny a prenášané údaje</w:t>
            </w:r>
          </w:p>
        </w:tc>
        <w:tc>
          <w:tcPr>
            <w:tcW w:type="dxa" w:w="334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  <w:shd w:fill="F6F6FA"/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Plnenie zmluvy a oprávnený záujem na poskytnutí požadovanej integrácie. Ak CREALAB koná ako sprostredkovateľ, uplatní sa pokyn zákazníka a DPA.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Calibri" w:hAnsi="Calibri" w:cs="Calibri"/>
          <w:b/>
          <w:color w:val="1A1A2E"/>
          <w:sz w:val="26"/>
        </w:rPr>
        <w:t>5. Zdroje údajov</w:t>
      </w:r>
    </w:p>
    <w:p>
      <w:pPr>
        <w:widowControl/>
        <w:jc w:val="both"/>
      </w:pPr>
      <w:r>
        <w:rPr>
          <w:rFonts w:ascii="Calibri" w:hAnsi="Calibri" w:cs="Calibri"/>
          <w:color w:val="1A1A2E"/>
          <w:sz w:val="21"/>
        </w:rPr>
        <w:t>Údaje získavame priamo od vás pri registrácii, komunikácii a používaní služby, od zákazníka alebo organizácie, ktorá vám vytvorila účet, automaticky z vášho zariadenia a používania služby, od platobných a integračných poskytovateľov a z verejných registrov, ak je to potrebné na overenie firemných údajov.</w:t>
      </w:r>
    </w:p>
    <w:p>
      <w:pPr>
        <w:widowControl/>
        <w:jc w:val="both"/>
      </w:pPr>
      <w:r>
        <w:rPr>
          <w:rFonts w:ascii="Calibri" w:hAnsi="Calibri" w:cs="Calibri"/>
          <w:color w:val="1A1A2E"/>
          <w:sz w:val="21"/>
        </w:rPr>
        <w:t>Ak zákazník poskytuje osobné údaje iných osôb, zodpovedá za to, že ich môže zákonne poskytnúť a že dotknutým osobám poskytol potrebné informácie.</w:t>
      </w:r>
    </w:p>
    <w:p>
      <w:pPr>
        <w:pStyle w:val="Heading1"/>
      </w:pPr>
      <w:r>
        <w:rPr>
          <w:rFonts w:ascii="Calibri" w:hAnsi="Calibri" w:cs="Calibri"/>
          <w:b/>
          <w:color w:val="1A1A2E"/>
          <w:sz w:val="26"/>
        </w:rPr>
        <w:t>6. Príjemcovia a subdodávatelia</w:t>
      </w:r>
    </w:p>
    <w:p>
      <w:pPr>
        <w:widowControl/>
        <w:jc w:val="both"/>
      </w:pPr>
      <w:r>
        <w:rPr>
          <w:rFonts w:ascii="Calibri" w:hAnsi="Calibri" w:cs="Calibri"/>
          <w:color w:val="1A1A2E"/>
          <w:sz w:val="21"/>
        </w:rPr>
        <w:t>Osobné údaje sprístupňujeme iba v potrebnom rozsahu oprávneným pracovníkom CREALAB, organizácii zákazníka, poskytovateľom hostingu a infraštruktúry, e-mailových a podporných služieb, platobným poskytovateľom, bezpečnostným a profesionálnym poradcom, poskytovateľom integrácií aktivovaných zákazníkom a orgánom verejnej moci, ak to vyžaduje zákon.</w:t>
      </w:r>
    </w:p>
    <w:p>
      <w:pPr>
        <w:widowControl/>
        <w:jc w:val="both"/>
      </w:pPr>
      <w:r>
        <w:rPr>
          <w:rFonts w:ascii="Calibri" w:hAnsi="Calibri" w:cs="Calibri"/>
          <w:color w:val="1A1A2E"/>
          <w:sz w:val="21"/>
        </w:rPr>
        <w:t>Aktuálne používané alebo podmienečne dostupné externé služby sú uvedené v zozname subdodávateľov na stránke /subprocessors. Platobní poskytovatelia môžu pri vlastnom spracúvaní vystupovať ako samostatní prevádzkovatelia podľa svojich podmienok.</w:t>
      </w:r>
    </w:p>
    <w:p>
      <w:pPr>
        <w:widowControl/>
        <w:jc w:val="both"/>
      </w:pPr>
      <w:r>
        <w:rPr>
          <w:rFonts w:ascii="Calibri" w:hAnsi="Calibri" w:cs="Calibri"/>
          <w:color w:val="1A1A2E"/>
          <w:sz w:val="21"/>
        </w:rPr>
        <w:t>Prístup v rámci CREALAB je založený na pracovnej potrebe a primeraných oprávneniach. Osobné údaje nepredávame.</w:t>
      </w:r>
    </w:p>
    <w:p>
      <w:pPr>
        <w:pStyle w:val="Heading1"/>
      </w:pPr>
      <w:r>
        <w:rPr>
          <w:rFonts w:ascii="Calibri" w:hAnsi="Calibri" w:cs="Calibri"/>
          <w:b/>
          <w:color w:val="1A1A2E"/>
          <w:sz w:val="26"/>
        </w:rPr>
        <w:t>7. Prenosy mimo Európskeho hospodárskeho priestoru</w:t>
      </w:r>
    </w:p>
    <w:p>
      <w:pPr>
        <w:widowControl/>
        <w:jc w:val="both"/>
      </w:pPr>
      <w:r>
        <w:rPr>
          <w:rFonts w:ascii="Calibri" w:hAnsi="Calibri" w:cs="Calibri"/>
          <w:color w:val="1A1A2E"/>
          <w:sz w:val="21"/>
        </w:rPr>
        <w:t>Uprednostňujeme spracúvanie v Európskom hospodárskom priestore. Ak aktivovaná služba alebo subdodávateľ vyžaduje prenos do tretej krajiny, používame primeraný mechanizmus podľa kapitoly V GDPR, najmä rozhodnutie o primeranosti alebo štandardné zmluvné doložky, a podľa potreby doplnkové technické a organizačné opatrenia.</w:t>
      </w:r>
    </w:p>
    <w:p>
      <w:pPr>
        <w:widowControl/>
        <w:jc w:val="both"/>
      </w:pPr>
      <w:r>
        <w:rPr>
          <w:rFonts w:ascii="Calibri" w:hAnsi="Calibri" w:cs="Calibri"/>
          <w:color w:val="1A1A2E"/>
          <w:sz w:val="21"/>
        </w:rPr>
        <w:t>Informáciu o relevantnom mechanizme možno vyžiadať na support@reevals.com. Niektoré integrácie zákazník aktivuje vo vlastnom účte u tretej strany. V takom prípade sa na vzťah zákazníka s touto treťou stranou uplatnia aj jej podmienky ochrany údajov.</w:t>
      </w:r>
    </w:p>
    <w:p>
      <w:pPr>
        <w:pStyle w:val="Heading1"/>
      </w:pPr>
      <w:r>
        <w:rPr>
          <w:rFonts w:ascii="Calibri" w:hAnsi="Calibri" w:cs="Calibri"/>
          <w:b/>
          <w:color w:val="1A1A2E"/>
          <w:sz w:val="26"/>
        </w:rPr>
        <w:t>8. Doba uchovávania</w:t>
      </w:r>
    </w:p>
    <w:tbl>
      <w:tblPr>
        <w:tblStyle w:val="TableGrid"/>
        <w:tblW w:type="dxa" w:w="8440"/>
        <w:jc w:val="center"/>
        <w:tblLayout w:type="fixed"/>
        <w:tblLook w:firstColumn="1" w:firstRow="1" w:lastColumn="0" w:lastRow="0" w:noHBand="0" w:noVBand="1" w:val="04A0"/>
      </w:tblPr>
      <w:tblGrid>
        <w:gridCol w:w="2700"/>
        <w:gridCol w:w="5740"/>
      </w:tblGrid>
      <w:tr>
        <w:trPr>
          <w:tblHeader w:val="true"/>
          <w:cantSplit/>
        </w:trPr>
        <w:tc>
          <w:tcPr>
            <w:tcW w:type="dxa" w:w="2700"/>
            <w:vAlign w:val="center"/>
            <w:shd w:fill="29275A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FFFFFF"/>
                <w:sz w:val="16"/>
              </w:rPr>
              <w:t>Kategória</w:t>
            </w:r>
          </w:p>
        </w:tc>
        <w:tc>
          <w:tcPr>
            <w:tcW w:type="dxa" w:w="5740"/>
            <w:vAlign w:val="center"/>
            <w:shd w:fill="29275A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FFFFFF"/>
                <w:sz w:val="16"/>
              </w:rPr>
              <w:t>Doba alebo kritérium</w:t>
            </w:r>
          </w:p>
        </w:tc>
      </w:tr>
      <w:tr>
        <w:trPr>
          <w:cantSplit/>
        </w:trPr>
        <w:tc>
          <w:tcPr>
            <w:tcW w:type="dxa" w:w="270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Účet a zmluvná dokumentácia</w:t>
            </w:r>
          </w:p>
        </w:tc>
        <w:tc>
          <w:tcPr>
            <w:tcW w:type="dxa" w:w="574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Počas trvania zmluvy a následne počas lehoty potrebnej na export, vysporiadanie zmluvy a ochranu právnych nárokov.</w:t>
            </w:r>
          </w:p>
        </w:tc>
      </w:tr>
      <w:tr>
        <w:trPr>
          <w:cantSplit/>
        </w:trPr>
        <w:tc>
          <w:tcPr>
            <w:tcW w:type="dxa" w:w="270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  <w:shd w:fill="F6F6FA"/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Faktúry a účtovné doklady</w:t>
            </w:r>
          </w:p>
        </w:tc>
        <w:tc>
          <w:tcPr>
            <w:tcW w:type="dxa" w:w="574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  <w:shd w:fill="F6F6FA"/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Po dobu vyžadovanú účtovnými a daňovými predpismi, spravidla desať rokov po roku, ktorého sa doklad týka.</w:t>
            </w:r>
          </w:p>
        </w:tc>
      </w:tr>
      <w:tr>
        <w:trPr>
          <w:cantSplit/>
        </w:trPr>
        <w:tc>
          <w:tcPr>
            <w:tcW w:type="dxa" w:w="270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Dôkaz prijatia Podmienok</w:t>
            </w:r>
          </w:p>
        </w:tc>
        <w:tc>
          <w:tcPr>
            <w:tcW w:type="dxa" w:w="574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Počas trvania zmluvy a počas príslušnej premlčacej alebo archivačnej lehoty potrebnej na preukázanie zmluvy.</w:t>
            </w:r>
          </w:p>
        </w:tc>
      </w:tr>
      <w:tr>
        <w:trPr>
          <w:cantSplit/>
        </w:trPr>
        <w:tc>
          <w:tcPr>
            <w:tcW w:type="dxa" w:w="270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  <w:shd w:fill="F6F6FA"/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Podpora a obchodná komunikácia</w:t>
            </w:r>
          </w:p>
        </w:tc>
        <w:tc>
          <w:tcPr>
            <w:tcW w:type="dxa" w:w="574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  <w:shd w:fill="F6F6FA"/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Počas riešenia požiadavky a následne podľa významu komunikácie, zmluvných lehôt a potreby ochrany právnych nárokov.</w:t>
            </w:r>
          </w:p>
        </w:tc>
      </w:tr>
      <w:tr>
        <w:trPr>
          <w:cantSplit/>
        </w:trPr>
        <w:tc>
          <w:tcPr>
            <w:tcW w:type="dxa" w:w="270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Bezpečnostné a prevádzkové logy</w:t>
            </w:r>
          </w:p>
        </w:tc>
        <w:tc>
          <w:tcPr>
            <w:tcW w:type="dxa" w:w="574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Po dobu primeranú účelu bezpečnosti, diagnostiky a auditu. Pri incidente sa relevantné záznamy uchovajú dlhšie do jeho vyriešenia a uzavretia nárokov.</w:t>
            </w:r>
          </w:p>
        </w:tc>
      </w:tr>
      <w:tr>
        <w:trPr>
          <w:cantSplit/>
        </w:trPr>
        <w:tc>
          <w:tcPr>
            <w:tcW w:type="dxa" w:w="270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  <w:shd w:fill="F6F6FA"/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Marketingový súhlas a preferencie</w:t>
            </w:r>
          </w:p>
        </w:tc>
        <w:tc>
          <w:tcPr>
            <w:tcW w:type="dxa" w:w="574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  <w:shd w:fill="F6F6FA"/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Do odvolania súhlasu alebo ukončenia príslušného marketingového účelu. Záznam o odvolaní sa môže uchovať na preukázanie rešpektovania voľby.</w:t>
            </w:r>
          </w:p>
        </w:tc>
      </w:tr>
      <w:tr>
        <w:trPr>
          <w:cantSplit/>
        </w:trPr>
        <w:tc>
          <w:tcPr>
            <w:tcW w:type="dxa" w:w="270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Voľby cookies</w:t>
            </w:r>
          </w:p>
        </w:tc>
        <w:tc>
          <w:tcPr>
            <w:tcW w:type="dxa" w:w="574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Najviac 180 dní od uloženia voľby, potom sa používateľ požiada o novú voľbu. Nová verzia nastavení môže vyvolať skoršiu žiadosť.</w:t>
            </w:r>
          </w:p>
        </w:tc>
      </w:tr>
      <w:tr>
        <w:trPr>
          <w:cantSplit/>
        </w:trPr>
        <w:tc>
          <w:tcPr>
            <w:tcW w:type="dxa" w:w="270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  <w:shd w:fill="F6F6FA"/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Zákaznícke dáta spracúvané ako sprostredkovateľ</w:t>
            </w:r>
          </w:p>
        </w:tc>
        <w:tc>
          <w:tcPr>
            <w:tcW w:type="dxa" w:w="5740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  <w:shd w:fill="F6F6FA"/>
          </w:tcPr>
          <w:p>
            <w:pPr>
              <w:spacing w:after="0" w:line="252" w:lineRule="auto"/>
            </w:pPr>
            <w:r>
              <w:rPr>
                <w:rFonts w:ascii="Calibri" w:hAnsi="Calibri" w:cs="Calibri"/>
                <w:color w:val="1A1A2E"/>
                <w:sz w:val="16"/>
              </w:rPr>
              <w:t>Podľa zmluvy, DPA a pokynov zákazníka. Po skončení sa uplatní dohodnutý export a vymazanie s prihliadnutím na bezpečné zálohy a zákonné povinnosti.</w:t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rFonts w:ascii="Calibri" w:hAnsi="Calibri" w:cs="Calibri"/>
          <w:color w:val="1A1A2E"/>
          <w:sz w:val="21"/>
        </w:rPr>
        <w:t>Po uplynutí príslušnej lehoty údaje vymažeme alebo anonymizujeme. Záložné kópie sa vyradia v rámci bežného bezpečného cyklu obnovy, ak ich skoršie selektívne odstránenie nie je primerane možné.</w:t>
      </w:r>
    </w:p>
    <w:p>
      <w:pPr>
        <w:pStyle w:val="Heading1"/>
      </w:pPr>
      <w:r>
        <w:rPr>
          <w:rFonts w:ascii="Calibri" w:hAnsi="Calibri" w:cs="Calibri"/>
          <w:b/>
          <w:color w:val="1A1A2E"/>
          <w:sz w:val="26"/>
        </w:rPr>
        <w:t>9. Povinnosť poskytnúť údaje a automatizované rozhodovanie</w:t>
      </w:r>
    </w:p>
    <w:p>
      <w:pPr>
        <w:widowControl/>
        <w:jc w:val="both"/>
      </w:pPr>
      <w:r>
        <w:rPr>
          <w:rFonts w:ascii="Calibri" w:hAnsi="Calibri" w:cs="Calibri"/>
          <w:color w:val="1A1A2E"/>
          <w:sz w:val="21"/>
        </w:rPr>
        <w:t>Údaje označené pri registrácii alebo objednávke ako povinné potrebujeme na vytvorenie účtu, overenie B2B zákazníka, uzatvorenie alebo plnenie zmluvy a fakturáciu. Bez nich nemusíme vedieť službu poskytnúť. Voliteľné údaje a voliteľné súhlasy možno neposkytnúť bez straty základného prístupu k webu alebo zmluvnej službe.</w:t>
      </w:r>
    </w:p>
    <w:p>
      <w:pPr>
        <w:widowControl/>
        <w:jc w:val="both"/>
      </w:pPr>
      <w:r>
        <w:rPr>
          <w:rFonts w:ascii="Calibri" w:hAnsi="Calibri" w:cs="Calibri"/>
          <w:color w:val="1A1A2E"/>
          <w:sz w:val="21"/>
        </w:rPr>
        <w:t>CREALAB nevykonáva v postavení prevádzkovateľa výlučne automatizované rozhodovanie s právnymi alebo obdobne významnými účinkami podľa článku 22 GDPR. Cenové odporúčania, párovanie a AI výstupy služby sú nástroje pre zákazníka a nie rozhodnutia CREALAB o dotknutej osobe.</w:t>
      </w:r>
    </w:p>
    <w:p>
      <w:pPr>
        <w:pStyle w:val="Heading1"/>
      </w:pPr>
      <w:r>
        <w:rPr>
          <w:rFonts w:ascii="Calibri" w:hAnsi="Calibri" w:cs="Calibri"/>
          <w:b/>
          <w:color w:val="1A1A2E"/>
          <w:sz w:val="26"/>
        </w:rPr>
        <w:t>10. Cookies a lokálne úložisko</w:t>
      </w:r>
    </w:p>
    <w:p>
      <w:pPr>
        <w:widowControl/>
        <w:jc w:val="both"/>
      </w:pPr>
      <w:r>
        <w:rPr>
          <w:rFonts w:ascii="Calibri" w:hAnsi="Calibri" w:cs="Calibri"/>
          <w:color w:val="1A1A2E"/>
          <w:sz w:val="21"/>
        </w:rPr>
        <w:t>Nevyhnutné cookies používame na bezpečnú reláciu, prihlásenie, zapamätanie výslovne zvolenej funkcie a uloženie voľby cookies. Voliteľné preferenčné, analytické a marketingové technológie sa nesmú aktivovať pred príslušnou voľbou používateľa.</w:t>
      </w:r>
    </w:p>
    <w:p>
      <w:pPr>
        <w:widowControl/>
        <w:jc w:val="both"/>
      </w:pPr>
      <w:r>
        <w:rPr>
          <w:rFonts w:ascii="Calibri" w:hAnsi="Calibri" w:cs="Calibri"/>
          <w:color w:val="1A1A2E"/>
          <w:sz w:val="21"/>
        </w:rPr>
        <w:t>Podrobnosti, aktuálny zoznam technológií a spôsob zmeny voľby sú uvedené v Zásadách používania cookies na stránke /cookies. V deň účinnosti týchto zásad nie sú na verejnom webe aktívne GA4, GTM ani marketingové trackery.</w:t>
      </w:r>
    </w:p>
    <w:p>
      <w:pPr>
        <w:pStyle w:val="Heading1"/>
      </w:pPr>
      <w:r>
        <w:rPr>
          <w:rFonts w:ascii="Calibri" w:hAnsi="Calibri" w:cs="Calibri"/>
          <w:b/>
          <w:color w:val="1A1A2E"/>
          <w:sz w:val="26"/>
        </w:rPr>
        <w:t>11. Bezpečnosť</w:t>
      </w:r>
    </w:p>
    <w:p>
      <w:pPr>
        <w:widowControl/>
        <w:jc w:val="both"/>
      </w:pPr>
      <w:r>
        <w:rPr>
          <w:rFonts w:ascii="Calibri" w:hAnsi="Calibri" w:cs="Calibri"/>
          <w:color w:val="1A1A2E"/>
          <w:sz w:val="21"/>
        </w:rPr>
        <w:t>Používame primerané technické a organizačné opatrenia podľa rizika. Patria medzi ne riadenie prístupov, oddelenie zákazníckych účtov, šifrovanie prenosu, ochrana prihlasovacích údajov, auditné a bezpečnostné záznamy, správa zraniteľností, zálohovanie, obnova, riadenie incidentov a zmluvné záväzky osôb s prístupom k údajom.</w:t>
      </w:r>
    </w:p>
    <w:p>
      <w:pPr>
        <w:widowControl/>
        <w:jc w:val="both"/>
      </w:pPr>
      <w:r>
        <w:rPr>
          <w:rFonts w:ascii="Calibri" w:hAnsi="Calibri" w:cs="Calibri"/>
          <w:color w:val="1A1A2E"/>
          <w:sz w:val="21"/>
        </w:rPr>
        <w:t>Žiadna služba nie je absolútne bezpečná. Zákazník musí chrániť svoje účty, používať jedinečné heslá, obmedzovať oprávnenia a bezodkladne hlásiť podozrenie na zneužitie.</w:t>
      </w:r>
    </w:p>
    <w:p>
      <w:pPr>
        <w:pStyle w:val="Heading1"/>
      </w:pPr>
      <w:r>
        <w:rPr>
          <w:rFonts w:ascii="Calibri" w:hAnsi="Calibri" w:cs="Calibri"/>
          <w:b/>
          <w:color w:val="1A1A2E"/>
          <w:sz w:val="26"/>
        </w:rPr>
        <w:t>12. Vaše práva</w:t>
      </w:r>
    </w:p>
    <w:p>
      <w:pPr>
        <w:pStyle w:val="ListBullet"/>
        <w:widowControl/>
        <w:jc w:val="both"/>
      </w:pPr>
      <w:r>
        <w:rPr>
          <w:rFonts w:ascii="Calibri" w:hAnsi="Calibri" w:cs="Calibri"/>
          <w:color w:val="1A1A2E"/>
          <w:sz w:val="21"/>
        </w:rPr>
        <w:t>Právo získať potvrdenie a prístup k osobným údajom.</w:t>
      </w:r>
    </w:p>
    <w:p>
      <w:pPr>
        <w:pStyle w:val="ListBullet"/>
        <w:widowControl/>
        <w:jc w:val="both"/>
      </w:pPr>
      <w:r>
        <w:rPr>
          <w:rFonts w:ascii="Calibri" w:hAnsi="Calibri" w:cs="Calibri"/>
          <w:color w:val="1A1A2E"/>
          <w:sz w:val="21"/>
        </w:rPr>
        <w:t>Právo na opravu nepresných alebo neúplných údajov.</w:t>
      </w:r>
    </w:p>
    <w:p>
      <w:pPr>
        <w:pStyle w:val="ListBullet"/>
        <w:widowControl/>
        <w:jc w:val="both"/>
      </w:pPr>
      <w:r>
        <w:rPr>
          <w:rFonts w:ascii="Calibri" w:hAnsi="Calibri" w:cs="Calibri"/>
          <w:color w:val="1A1A2E"/>
          <w:sz w:val="21"/>
        </w:rPr>
        <w:t>Právo na vymazanie, ak sú splnené zákonné podmienky.</w:t>
      </w:r>
    </w:p>
    <w:p>
      <w:pPr>
        <w:pStyle w:val="ListBullet"/>
        <w:widowControl/>
        <w:jc w:val="both"/>
      </w:pPr>
      <w:r>
        <w:rPr>
          <w:rFonts w:ascii="Calibri" w:hAnsi="Calibri" w:cs="Calibri"/>
          <w:color w:val="1A1A2E"/>
          <w:sz w:val="21"/>
        </w:rPr>
        <w:t>Právo na obmedzenie spracúvania.</w:t>
      </w:r>
    </w:p>
    <w:p>
      <w:pPr>
        <w:pStyle w:val="ListBullet"/>
        <w:widowControl/>
        <w:jc w:val="both"/>
      </w:pPr>
      <w:r>
        <w:rPr>
          <w:rFonts w:ascii="Calibri" w:hAnsi="Calibri" w:cs="Calibri"/>
          <w:color w:val="1A1A2E"/>
          <w:sz w:val="21"/>
        </w:rPr>
        <w:t>Právo na prenosnosť údajov pri spracúvaní založenom na súhlase alebo zmluve a vykonávanom automatizovane.</w:t>
      </w:r>
    </w:p>
    <w:p>
      <w:pPr>
        <w:pStyle w:val="ListBullet"/>
        <w:widowControl/>
        <w:jc w:val="both"/>
      </w:pPr>
      <w:r>
        <w:rPr>
          <w:rFonts w:ascii="Calibri" w:hAnsi="Calibri" w:cs="Calibri"/>
          <w:color w:val="1A1A2E"/>
          <w:sz w:val="21"/>
        </w:rPr>
        <w:t>Právo namietať proti spracúvaniu založenému na oprávnenom záujme vrátane priameho marketingu.</w:t>
      </w:r>
    </w:p>
    <w:p>
      <w:pPr>
        <w:pStyle w:val="ListBullet"/>
        <w:widowControl/>
        <w:jc w:val="both"/>
      </w:pPr>
      <w:r>
        <w:rPr>
          <w:rFonts w:ascii="Calibri" w:hAnsi="Calibri" w:cs="Calibri"/>
          <w:color w:val="1A1A2E"/>
          <w:sz w:val="21"/>
        </w:rPr>
        <w:t>Právo kedykoľvek odvolať súhlas bez vplyvu na zákonnosť spracúvania pred odvolaním.</w:t>
      </w:r>
    </w:p>
    <w:p>
      <w:pPr>
        <w:pStyle w:val="ListBullet"/>
        <w:widowControl/>
        <w:jc w:val="both"/>
      </w:pPr>
      <w:r>
        <w:rPr>
          <w:rFonts w:ascii="Calibri" w:hAnsi="Calibri" w:cs="Calibri"/>
          <w:color w:val="1A1A2E"/>
          <w:sz w:val="21"/>
        </w:rPr>
        <w:t>Právo podať sťažnosť Úradu na ochranu osobných údajov Slovenskej republiky alebo inému príslušnému dozornému orgánu.</w:t>
      </w:r>
    </w:p>
    <w:p>
      <w:pPr>
        <w:widowControl/>
        <w:jc w:val="both"/>
      </w:pPr>
      <w:r>
        <w:rPr>
          <w:rFonts w:ascii="Calibri" w:hAnsi="Calibri" w:cs="Calibri"/>
          <w:color w:val="1A1A2E"/>
          <w:sz w:val="21"/>
        </w:rPr>
        <w:t>Žiadosť pošlite na support@reevals.com. Pred vybavením môžeme primerane overiť totožnosť a oprávnenie žiadateľa. Ak sa žiadosť týka údajov, ktoré spracúvame iba ako sprostredkovateľ pre zákazníka, postúpime ju zákazníkovi alebo vás nasmerujeme na príslušného prevádzkovateľa.</w:t>
      </w:r>
    </w:p>
    <w:p>
      <w:pPr>
        <w:pStyle w:val="Heading1"/>
      </w:pPr>
      <w:r>
        <w:rPr>
          <w:rFonts w:ascii="Calibri" w:hAnsi="Calibri" w:cs="Calibri"/>
          <w:b/>
          <w:color w:val="1A1A2E"/>
          <w:sz w:val="26"/>
        </w:rPr>
        <w:t>13. B2B služba a maloleté osoby</w:t>
      </w:r>
    </w:p>
    <w:p>
      <w:pPr>
        <w:widowControl/>
        <w:jc w:val="both"/>
      </w:pPr>
      <w:r>
        <w:rPr>
          <w:rFonts w:ascii="Calibri" w:hAnsi="Calibri" w:cs="Calibri"/>
          <w:color w:val="1A1A2E"/>
          <w:sz w:val="21"/>
        </w:rPr>
        <w:t>Reevals je určený výlučne na podnikateľské a profesionálne použitie. Službu cielene neponúkame deťom a vedome nevytvárame účty osobám mladším ako 18 rokov. Ak sa domnievate, že nám maloletá osoba poskytla údaje, kontaktujte nás.</w:t>
      </w:r>
    </w:p>
    <w:p>
      <w:pPr>
        <w:pStyle w:val="Heading1"/>
      </w:pPr>
      <w:r>
        <w:rPr>
          <w:rFonts w:ascii="Calibri" w:hAnsi="Calibri" w:cs="Calibri"/>
          <w:b/>
          <w:color w:val="1A1A2E"/>
          <w:sz w:val="26"/>
        </w:rPr>
        <w:t>14. Zmeny a účinnosť</w:t>
      </w:r>
    </w:p>
    <w:p>
      <w:pPr>
        <w:widowControl/>
        <w:jc w:val="both"/>
      </w:pPr>
      <w:r>
        <w:rPr>
          <w:rFonts w:ascii="Calibri" w:hAnsi="Calibri" w:cs="Calibri"/>
          <w:color w:val="1A1A2E"/>
          <w:sz w:val="21"/>
        </w:rPr>
        <w:t>Tieto zásady môžeme aktualizovať pri zmene služby, právnych požiadaviek alebo spôsobov spracúvania. Na stránke vždy uvedieme verziu a dátum účinnosti. O podstatnej zmene týkajúcej sa existujúcich používateľov informujeme primeraným spôsobom. Ak nové spracúvanie vyžaduje súhlas, vyžiadame ho pred jeho začatím.</w:t>
      </w:r>
    </w:p>
    <w:p>
      <w:pPr>
        <w:widowControl/>
        <w:jc w:val="both"/>
      </w:pPr>
      <w:r>
        <w:rPr>
          <w:rFonts w:ascii="Calibri" w:hAnsi="Calibri" w:cs="Calibri"/>
          <w:color w:val="1A1A2E"/>
          <w:sz w:val="21"/>
        </w:rPr>
        <w:t>Verzia 1.0 je účinná od 25. augusta 2026. Záväznou publikovanou verziou je slovenské znenie.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32" w:right="1729" w:bottom="1332" w:left="1729" w:header="68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cs="Calibri"/>
        <w:color w:val="666666"/>
        <w:sz w:val="17"/>
      </w:rPr>
      <w:t xml:space="preserve">Reevals  •  </w:t>
    </w:r>
    <w: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 w:cs="Calibri"/>
        <w:b/>
        <w:color w:val="666666"/>
        <w:sz w:val="17"/>
      </w:rPr>
      <w:t>REEVALS  •  LEGAL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00" w:line="276" w:lineRule="auto"/>
    </w:pPr>
    <w:rPr>
      <w:rFonts w:ascii="Calibri" w:hAnsi="Calibri"/>
      <w:color w:val="1A1A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1A1A2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4F46E5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76" w:lineRule="auto"/>
      <w:ind w:left="425" w:hanging="198"/>
      <w:contextualSpacing/>
    </w:pPr>
    <w:rPr>
      <w:rFonts w:ascii="Calibri" w:hAnsi="Calibri"/>
      <w:color w:val="1A1A2E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evalsCallout">
    <w:name w:val="Reevals Callout"/>
    <w:pPr>
      <w:spacing w:before="80" w:after="140" w:line="264" w:lineRule="auto"/>
      <w:ind w:left="125" w:right="125"/>
    </w:pPr>
    <w:rPr>
      <w:rFonts w:ascii="Calibri" w:hAnsi="Calibri"/>
      <w:color w:val="1A1A2E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Zásady ochrany osobných údajov</dc:title>
  <dc:subject>Reevals legal document version 1.0</dc:subject>
  <dc:creator>CREALAB s.r.o.</dc:creator>
  <cp:keywords>Reevals, GDPR, SaaS, privacy, DPA, cookies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