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p>
    <w:p>
      <w:pPr>
        <w:spacing w:after="120"/>
        <w:jc w:val="center"/>
      </w:pPr>
      <w:r>
        <w:rPr>
          <w:rFonts w:ascii="Calibri" w:hAnsi="Calibri" w:cs="Calibri"/>
          <w:b/>
          <w:color w:val="1A1A2E"/>
          <w:sz w:val="36"/>
        </w:rPr>
        <w:t>PODMIENKY POUŽÍVANIA SLUŽBY</w:t>
      </w:r>
    </w:p>
    <w:p>
      <w:pPr>
        <w:spacing w:after="160"/>
        <w:jc w:val="center"/>
      </w:pPr>
      <w:r>
        <w:rPr>
          <w:rFonts w:ascii="Calibri" w:hAnsi="Calibri" w:cs="Calibri"/>
          <w:b/>
          <w:color w:val="4F46E5"/>
          <w:sz w:val="52"/>
        </w:rPr>
        <w:t>Reevals</w:t>
      </w:r>
    </w:p>
    <w:p>
      <w:pPr>
        <w:spacing w:after="40"/>
        <w:jc w:val="center"/>
      </w:pPr>
      <w:r>
        <w:rPr>
          <w:rFonts w:ascii="Calibri" w:hAnsi="Calibri" w:cs="Calibri"/>
          <w:i/>
          <w:color w:val="666666"/>
          <w:sz w:val="20"/>
        </w:rPr>
        <w:t>Verzia 1.3</w:t>
      </w:r>
    </w:p>
    <w:p>
      <w:pPr>
        <w:spacing w:after="240"/>
        <w:jc w:val="center"/>
      </w:pPr>
      <w:r>
        <w:rPr>
          <w:rFonts w:ascii="Calibri" w:hAnsi="Calibri" w:cs="Calibri"/>
          <w:i/>
          <w:color w:val="666666"/>
          <w:sz w:val="20"/>
        </w:rPr>
        <w:t>Účinnosť od: 25. augusta 2026</w:t>
      </w:r>
    </w:p>
    <w:p>
      <w:pPr>
        <w:pStyle w:val="Heading1"/>
        <w:pBdr>
          <w:bottom w:val="single" w:sz="4" w:space="4" w:color="4F46E5"/>
        </w:pBdr>
      </w:pPr>
      <w:r>
        <w:t>1. ROZSAH PODMIENOK A UZATVORENIE ZMLUVY</w:t>
      </w:r>
    </w:p>
    <w:p>
      <w:pPr>
        <w:pStyle w:val="Heading2"/>
      </w:pPr>
      <w:r>
        <w:t>1.1 Rozsah</w:t>
      </w:r>
    </w:p>
    <w:p>
      <w:pPr>
        <w:keepNext w:val="0"/>
        <w:widowControl/>
        <w:jc w:val="both"/>
      </w:pPr>
      <w:r>
        <w:rPr>
          <w:rFonts w:ascii="Calibri" w:hAnsi="Calibri" w:cs="Calibri"/>
          <w:i w:val="0"/>
          <w:color w:val="1A1A2E"/>
          <w:sz w:val="22"/>
        </w:rPr>
        <w:t>Tieto Podmienky používania upravujú prístup k platforme Reevals a jej používanie, vrátane webovej aplikácie, dokumentácie, rozhraní API, exportov, integrácií, monitoringu dát, cenových pracovných postupov a funkcií využívajúcich umelú inteligenciu.</w:t>
      </w:r>
    </w:p>
    <w:p>
      <w:pPr>
        <w:keepNext w:val="0"/>
        <w:widowControl/>
        <w:jc w:val="both"/>
      </w:pPr>
      <w:r>
        <w:rPr>
          <w:rFonts w:ascii="Calibri" w:hAnsi="Calibri" w:cs="Calibri"/>
          <w:i w:val="0"/>
          <w:color w:val="1A1A2E"/>
          <w:sz w:val="22"/>
        </w:rPr>
        <w:t>Podmienky sa uplatnia na bezplatné skúšobné verzie, platené Predplatné aj funkcie sprístupnené na individuálnu objednávku, pokiaľ osobitná písomná zmluva neurčuje inak.</w:t>
      </w:r>
    </w:p>
    <w:p>
      <w:pPr>
        <w:pStyle w:val="Heading2"/>
      </w:pPr>
      <w:r>
        <w:t>1.2 Len pre podnikateľov</w:t>
      </w:r>
    </w:p>
    <w:p>
      <w:pPr>
        <w:keepNext w:val="0"/>
        <w:widowControl/>
        <w:jc w:val="both"/>
      </w:pPr>
      <w:r>
        <w:rPr>
          <w:rFonts w:ascii="Calibri" w:hAnsi="Calibri" w:cs="Calibri"/>
          <w:i w:val="0"/>
          <w:color w:val="1A1A2E"/>
          <w:sz w:val="22"/>
        </w:rPr>
        <w:t>Služba je určená výlučne podnikateľom a iným osobám, ktoré ju používajú v súvislosti so svojou podnikateľskou alebo profesionálnou činnosťou. Nie je určená spotrebiteľom. Fyzická osoba môže Službu používať ako podnikateľ alebo ako oprávnený zástupca Zákazníka.</w:t>
      </w:r>
    </w:p>
    <w:p>
      <w:pPr>
        <w:keepNext w:val="0"/>
        <w:widowControl/>
        <w:jc w:val="both"/>
      </w:pPr>
      <w:r>
        <w:rPr>
          <w:rFonts w:ascii="Calibri" w:hAnsi="Calibri" w:cs="Calibri"/>
          <w:i w:val="0"/>
          <w:color w:val="1A1A2E"/>
          <w:sz w:val="22"/>
        </w:rPr>
        <w:t>Osoba, ktorá prijíma tieto Podmienky za právnickú osobu alebo inú organizáciu, potvrdzuje, že je oprávnená túto osobu zaviazať. Ak také oprávnenie nemá, nesmie Objednávku potvrdiť ani Službu používať.</w:t>
      </w:r>
    </w:p>
    <w:p>
      <w:pPr>
        <w:pStyle w:val="Heading2"/>
      </w:pPr>
      <w:r>
        <w:t>1.3 Vznik Zmluvy</w:t>
      </w:r>
    </w:p>
    <w:p>
      <w:pPr>
        <w:keepNext w:val="0"/>
        <w:widowControl/>
        <w:jc w:val="both"/>
      </w:pPr>
      <w:r>
        <w:rPr>
          <w:rFonts w:ascii="Calibri" w:hAnsi="Calibri" w:cs="Calibri"/>
          <w:i w:val="0"/>
          <w:color w:val="1A1A2E"/>
          <w:sz w:val="22"/>
        </w:rPr>
        <w:t>Zmluva vzniká najskorším z týchto okamihov: (a) potvrdením prijatia Podmienok pri registrácii alebo objednávke, (b) aktiváciou účtu Poskytovateľom, (c) potvrdením Objednávky Poskytovateľom alebo (d) začatím používania Služby. Zákazník musí mať pred uzatvorením Zmluvy možnosť Podmienky uložiť a oboznámiť sa s nimi.</w:t>
      </w:r>
    </w:p>
    <w:p>
      <w:pPr>
        <w:keepNext w:val="0"/>
        <w:widowControl/>
        <w:jc w:val="both"/>
      </w:pPr>
      <w:r>
        <w:rPr>
          <w:rFonts w:ascii="Calibri" w:hAnsi="Calibri" w:cs="Calibri"/>
          <w:i w:val="0"/>
          <w:color w:val="1A1A2E"/>
          <w:sz w:val="22"/>
        </w:rPr>
        <w:t>Ak strany podpíšu samostatnú rámcovú zmluvu, objednávkový formulár, SLA alebo DPA, uplatní sa poradie prednosti podľa článku 22.1.</w:t>
      </w:r>
    </w:p>
    <w:p>
      <w:pPr>
        <w:pStyle w:val="Heading1"/>
        <w:pBdr>
          <w:bottom w:val="single" w:sz="4" w:space="4" w:color="4F46E5"/>
        </w:pBdr>
      </w:pPr>
      <w:r>
        <w:t>2. DEFINÍCIE</w:t>
      </w:r>
    </w:p>
    <w:p>
      <w:pPr>
        <w:keepNext w:val="0"/>
        <w:widowControl/>
        <w:jc w:val="both"/>
      </w:pPr>
      <w:r>
        <w:rPr>
          <w:rFonts w:ascii="Calibri" w:hAnsi="Calibri" w:cs="Calibri"/>
          <w:i w:val="0"/>
          <w:color w:val="1A1A2E"/>
          <w:sz w:val="22"/>
        </w:rPr>
        <w:t>V týchto Podmienkach majú nasledujúce pojmy tento význam:</w:t>
      </w:r>
    </w:p>
    <w:p>
      <w:pPr>
        <w:pStyle w:val="ListBullet"/>
        <w:widowControl/>
        <w:jc w:val="both"/>
      </w:pPr>
      <w:r>
        <w:rPr>
          <w:rFonts w:ascii="Calibri" w:hAnsi="Calibri" w:cs="Calibri"/>
          <w:b/>
          <w:color w:val="1A1A2E"/>
          <w:sz w:val="22"/>
        </w:rPr>
        <w:t>„AI funkcie“</w:t>
      </w:r>
      <w:r>
        <w:rPr>
          <w:rFonts w:ascii="Calibri" w:hAnsi="Calibri" w:cs="Calibri"/>
          <w:color w:val="1A1A2E"/>
          <w:sz w:val="22"/>
        </w:rPr>
        <w:t xml:space="preserve"> – funkcie, ktoré používajú strojové učenie, generatívne modely alebo iné automatizované metódy na návrhy, vysvetlenia, klasifikáciu, párovanie, diagnostiku alebo odporúčania.</w:t>
      </w:r>
    </w:p>
    <w:p>
      <w:pPr>
        <w:pStyle w:val="ListBullet"/>
        <w:widowControl/>
        <w:jc w:val="both"/>
      </w:pPr>
      <w:r>
        <w:rPr>
          <w:rFonts w:ascii="Calibri" w:hAnsi="Calibri" w:cs="Calibri"/>
          <w:b/>
          <w:color w:val="1A1A2E"/>
          <w:sz w:val="22"/>
        </w:rPr>
        <w:t>„Cenník“</w:t>
      </w:r>
      <w:r>
        <w:rPr>
          <w:rFonts w:ascii="Calibri" w:hAnsi="Calibri" w:cs="Calibri"/>
          <w:color w:val="1A1A2E"/>
          <w:sz w:val="22"/>
        </w:rPr>
        <w:t xml:space="preserve"> – aktuálna cenová a funkčná ponuka Poskytovateľa zobrazená pri objednávke alebo uvedená v individuálnej ponuke.</w:t>
      </w:r>
    </w:p>
    <w:p>
      <w:pPr>
        <w:pStyle w:val="ListBullet"/>
        <w:widowControl/>
        <w:jc w:val="both"/>
      </w:pPr>
      <w:r>
        <w:rPr>
          <w:rFonts w:ascii="Calibri" w:hAnsi="Calibri" w:cs="Calibri"/>
          <w:b/>
          <w:color w:val="1A1A2E"/>
          <w:sz w:val="22"/>
        </w:rPr>
        <w:t>„DPA“</w:t>
      </w:r>
      <w:r>
        <w:rPr>
          <w:rFonts w:ascii="Calibri" w:hAnsi="Calibri" w:cs="Calibri"/>
          <w:color w:val="1A1A2E"/>
          <w:sz w:val="22"/>
        </w:rPr>
        <w:t xml:space="preserve"> – dohoda o spracúvaní osobných údajov podľa článku 28 GDPR, ak je Poskytovateľ sprostredkovateľom osobných údajov pre Zákazníka.</w:t>
      </w:r>
    </w:p>
    <w:p>
      <w:pPr>
        <w:pStyle w:val="ListBullet"/>
        <w:widowControl/>
        <w:jc w:val="both"/>
      </w:pPr>
      <w:r>
        <w:rPr>
          <w:rFonts w:ascii="Calibri" w:hAnsi="Calibri" w:cs="Calibri"/>
          <w:b/>
          <w:color w:val="1A1A2E"/>
          <w:sz w:val="22"/>
        </w:rPr>
        <w:t>„Dokumentácia“</w:t>
      </w:r>
      <w:r>
        <w:rPr>
          <w:rFonts w:ascii="Calibri" w:hAnsi="Calibri" w:cs="Calibri"/>
          <w:color w:val="1A1A2E"/>
          <w:sz w:val="22"/>
        </w:rPr>
        <w:t xml:space="preserve"> – používateľská, technická, bezpečnostná a integračná dokumentácia Služby, ktorú Poskytovateľ priebežne sprístupňuje.</w:t>
      </w:r>
    </w:p>
    <w:p>
      <w:pPr>
        <w:pStyle w:val="ListBullet"/>
        <w:widowControl/>
        <w:jc w:val="both"/>
      </w:pPr>
      <w:r>
        <w:rPr>
          <w:rFonts w:ascii="Calibri" w:hAnsi="Calibri" w:cs="Calibri"/>
          <w:b/>
          <w:color w:val="1A1A2E"/>
          <w:sz w:val="22"/>
        </w:rPr>
        <w:t>„Objednávka“</w:t>
      </w:r>
      <w:r>
        <w:rPr>
          <w:rFonts w:ascii="Calibri" w:hAnsi="Calibri" w:cs="Calibri"/>
          <w:color w:val="1A1A2E"/>
          <w:sz w:val="22"/>
        </w:rPr>
        <w:t xml:space="preserve"> – online objednávka, objednávkový formulár, cenová ponuka alebo iný dokument určujúci plán, dobu Predplatného, cenu, limity a prípadné osobitné podmienky.</w:t>
      </w:r>
    </w:p>
    <w:p>
      <w:pPr>
        <w:pStyle w:val="ListBullet"/>
        <w:widowControl/>
        <w:jc w:val="both"/>
      </w:pPr>
      <w:r>
        <w:rPr>
          <w:rFonts w:ascii="Calibri" w:hAnsi="Calibri" w:cs="Calibri"/>
          <w:b/>
          <w:color w:val="1A1A2E"/>
          <w:sz w:val="22"/>
        </w:rPr>
        <w:t>„Oprávnený používateľ“</w:t>
      </w:r>
      <w:r>
        <w:rPr>
          <w:rFonts w:ascii="Calibri" w:hAnsi="Calibri" w:cs="Calibri"/>
          <w:color w:val="1A1A2E"/>
          <w:sz w:val="22"/>
        </w:rPr>
        <w:t xml:space="preserve"> – fyzická osoba, ktorej Zákazník v súlade s plánom vytvoril alebo povolil individuálny prístup k Službe.</w:t>
      </w:r>
    </w:p>
    <w:p>
      <w:pPr>
        <w:pStyle w:val="ListBullet"/>
        <w:widowControl/>
        <w:jc w:val="both"/>
      </w:pPr>
      <w:r>
        <w:rPr>
          <w:rFonts w:ascii="Calibri" w:hAnsi="Calibri" w:cs="Calibri"/>
          <w:b/>
          <w:color w:val="1A1A2E"/>
          <w:sz w:val="22"/>
        </w:rPr>
        <w:t>„Poskytovateľ“</w:t>
      </w:r>
      <w:r>
        <w:rPr>
          <w:rFonts w:ascii="Calibri" w:hAnsi="Calibri" w:cs="Calibri"/>
          <w:color w:val="1A1A2E"/>
          <w:sz w:val="22"/>
        </w:rPr>
        <w:t xml:space="preserve"> – CREALAB s.r.o. s identifikačnými údajmi uvedenými v článku 23.</w:t>
      </w:r>
    </w:p>
    <w:p>
      <w:pPr>
        <w:pStyle w:val="ListBullet"/>
        <w:widowControl/>
        <w:jc w:val="both"/>
      </w:pPr>
      <w:r>
        <w:rPr>
          <w:rFonts w:ascii="Calibri" w:hAnsi="Calibri" w:cs="Calibri"/>
          <w:b/>
          <w:color w:val="1A1A2E"/>
          <w:sz w:val="22"/>
        </w:rPr>
        <w:t>„Predplatné“</w:t>
      </w:r>
      <w:r>
        <w:rPr>
          <w:rFonts w:ascii="Calibri" w:hAnsi="Calibri" w:cs="Calibri"/>
          <w:color w:val="1A1A2E"/>
          <w:sz w:val="22"/>
        </w:rPr>
        <w:t xml:space="preserve"> – časovo obmedzené právo používať Službu v rozsahu plánu alebo Objednávky.</w:t>
      </w:r>
    </w:p>
    <w:p>
      <w:pPr>
        <w:pStyle w:val="ListBullet"/>
        <w:widowControl/>
        <w:jc w:val="both"/>
      </w:pPr>
      <w:r>
        <w:rPr>
          <w:rFonts w:ascii="Calibri" w:hAnsi="Calibri" w:cs="Calibri"/>
          <w:b/>
          <w:color w:val="1A1A2E"/>
          <w:sz w:val="22"/>
        </w:rPr>
        <w:t>„Služba“ alebo „Platforma“</w:t>
      </w:r>
      <w:r>
        <w:rPr>
          <w:rFonts w:ascii="Calibri" w:hAnsi="Calibri" w:cs="Calibri"/>
          <w:color w:val="1A1A2E"/>
          <w:sz w:val="22"/>
        </w:rPr>
        <w:t xml:space="preserve"> – cloudová platforma Reevals a súvisiace funkcie sprístupnené Zákazníkovi podľa Zmluvy.</w:t>
      </w:r>
    </w:p>
    <w:p>
      <w:pPr>
        <w:pStyle w:val="ListBullet"/>
        <w:widowControl/>
        <w:jc w:val="both"/>
      </w:pPr>
      <w:r>
        <w:rPr>
          <w:rFonts w:ascii="Calibri" w:hAnsi="Calibri" w:cs="Calibri"/>
          <w:b/>
          <w:color w:val="1A1A2E"/>
          <w:sz w:val="22"/>
        </w:rPr>
        <w:t>„Výstupy“</w:t>
      </w:r>
      <w:r>
        <w:rPr>
          <w:rFonts w:ascii="Calibri" w:hAnsi="Calibri" w:cs="Calibri"/>
          <w:color w:val="1A1A2E"/>
          <w:sz w:val="22"/>
        </w:rPr>
        <w:t xml:space="preserve"> – dáta, porovnania, zhody, analýzy, simulácie, odporúčania, návrhy konfigurácií, reporty a iné výsledky vytvorené Službou zo Zákazníckych dát alebo Zdrojových dát.</w:t>
      </w:r>
    </w:p>
    <w:p>
      <w:pPr>
        <w:pStyle w:val="ListBullet"/>
        <w:widowControl/>
        <w:jc w:val="both"/>
      </w:pPr>
      <w:r>
        <w:rPr>
          <w:rFonts w:ascii="Calibri" w:hAnsi="Calibri" w:cs="Calibri"/>
          <w:b/>
          <w:color w:val="1A1A2E"/>
          <w:sz w:val="22"/>
        </w:rPr>
        <w:t>„Zákazník“</w:t>
      </w:r>
      <w:r>
        <w:rPr>
          <w:rFonts w:ascii="Calibri" w:hAnsi="Calibri" w:cs="Calibri"/>
          <w:color w:val="1A1A2E"/>
          <w:sz w:val="22"/>
        </w:rPr>
        <w:t xml:space="preserve"> – podnikateľ alebo iná osoba používajúca Službu v rámci svojej podnikateľskej alebo profesionálnej činnosti, ktorá uzatvorila Zmluvu s Poskytovateľom.</w:t>
      </w:r>
    </w:p>
    <w:p>
      <w:pPr>
        <w:pStyle w:val="ListBullet"/>
        <w:widowControl/>
        <w:jc w:val="both"/>
      </w:pPr>
      <w:r>
        <w:rPr>
          <w:rFonts w:ascii="Calibri" w:hAnsi="Calibri" w:cs="Calibri"/>
          <w:b/>
          <w:color w:val="1A1A2E"/>
          <w:sz w:val="22"/>
        </w:rPr>
        <w:t>„Zákaznícke dáta“</w:t>
      </w:r>
      <w:r>
        <w:rPr>
          <w:rFonts w:ascii="Calibri" w:hAnsi="Calibri" w:cs="Calibri"/>
          <w:color w:val="1A1A2E"/>
          <w:sz w:val="22"/>
        </w:rPr>
        <w:t xml:space="preserve"> – dáta, súbory, konfigurácie, prístupové oprávnenia, pokyny a iný obsah, ktorý Zákazník alebo jeho Oprávnení používatelia odošlú do Služby alebo sprístupnia prostredníctvom Integrácie.</w:t>
      </w:r>
    </w:p>
    <w:p>
      <w:pPr>
        <w:pStyle w:val="ListBullet"/>
        <w:widowControl/>
        <w:jc w:val="both"/>
      </w:pPr>
      <w:r>
        <w:rPr>
          <w:rFonts w:ascii="Calibri" w:hAnsi="Calibri" w:cs="Calibri"/>
          <w:b/>
          <w:color w:val="1A1A2E"/>
          <w:sz w:val="22"/>
        </w:rPr>
        <w:t>„Zdrojové dáta“</w:t>
      </w:r>
      <w:r>
        <w:rPr>
          <w:rFonts w:ascii="Calibri" w:hAnsi="Calibri" w:cs="Calibri"/>
          <w:color w:val="1A1A2E"/>
          <w:sz w:val="22"/>
        </w:rPr>
        <w:t xml:space="preserve"> – informácie získané zo Zákazníkom zvolených verejných webových stránok, feedov, API, súborov alebo iných zdrojov tretích strán.</w:t>
      </w:r>
    </w:p>
    <w:p>
      <w:pPr>
        <w:pStyle w:val="ListBullet"/>
        <w:widowControl/>
        <w:jc w:val="both"/>
      </w:pPr>
      <w:r>
        <w:rPr>
          <w:rFonts w:ascii="Calibri" w:hAnsi="Calibri" w:cs="Calibri"/>
          <w:b/>
          <w:color w:val="1A1A2E"/>
          <w:sz w:val="22"/>
        </w:rPr>
        <w:t>„Zmluva“</w:t>
      </w:r>
      <w:r>
        <w:rPr>
          <w:rFonts w:ascii="Calibri" w:hAnsi="Calibri" w:cs="Calibri"/>
          <w:color w:val="1A1A2E"/>
          <w:sz w:val="22"/>
        </w:rPr>
        <w:t xml:space="preserve"> – zmluvný vzťah tvorený Objednávkou, týmito Podmienkami a dokumentmi, ktoré sú do Zmluvy výslovne začlenené.</w:t>
      </w:r>
    </w:p>
    <w:p>
      <w:pPr>
        <w:pStyle w:val="Heading1"/>
        <w:pBdr>
          <w:bottom w:val="single" w:sz="4" w:space="4" w:color="4F46E5"/>
        </w:pBdr>
      </w:pPr>
      <w:r>
        <w:t>3. SLUŽBA REEVALS</w:t>
      </w:r>
    </w:p>
    <w:p>
      <w:pPr>
        <w:pStyle w:val="Heading2"/>
      </w:pPr>
      <w:r>
        <w:t>3.1 Funkcie</w:t>
      </w:r>
    </w:p>
    <w:p>
      <w:pPr>
        <w:keepNext w:val="0"/>
        <w:widowControl/>
        <w:jc w:val="both"/>
      </w:pPr>
      <w:r>
        <w:rPr>
          <w:rFonts w:ascii="Calibri" w:hAnsi="Calibri" w:cs="Calibri"/>
          <w:i w:val="0"/>
          <w:color w:val="1A1A2E"/>
          <w:sz w:val="22"/>
        </w:rPr>
        <w:t>Reevals je B2B platforma cenového rozhodovania pre e-commerce. Podľa zvoleného plánu, konfigurácie a technickej dostupnosti môže najmä:</w:t>
      </w:r>
    </w:p>
    <w:p>
      <w:pPr>
        <w:pStyle w:val="ListBullet"/>
        <w:widowControl/>
        <w:jc w:val="both"/>
      </w:pPr>
      <w:r>
        <w:rPr>
          <w:rFonts w:ascii="Calibri" w:hAnsi="Calibri" w:cs="Calibri"/>
          <w:color w:val="1A1A2E"/>
          <w:sz w:val="22"/>
        </w:rPr>
        <w:t>zbierať a normalizovať produktové, cenové, skladové, dopravné a ďalšie trhové informácie z nakonfigurovaných stránok, feedov a vybraných API.</w:t>
      </w:r>
    </w:p>
    <w:p>
      <w:pPr>
        <w:pStyle w:val="ListBullet"/>
        <w:widowControl/>
        <w:jc w:val="both"/>
      </w:pPr>
      <w:r>
        <w:rPr>
          <w:rFonts w:ascii="Calibri" w:hAnsi="Calibri" w:cs="Calibri"/>
          <w:color w:val="1A1A2E"/>
          <w:sz w:val="22"/>
        </w:rPr>
        <w:t>párovať vlastné a konkurenčné produkty, zobrazovať dôkazy, mieru spoľahlivosti a fronty na manuálne posúdenie.</w:t>
      </w:r>
    </w:p>
    <w:p>
      <w:pPr>
        <w:pStyle w:val="ListBullet"/>
        <w:widowControl/>
        <w:jc w:val="both"/>
      </w:pPr>
      <w:r>
        <w:rPr>
          <w:rFonts w:ascii="Calibri" w:hAnsi="Calibri" w:cs="Calibri"/>
          <w:color w:val="1A1A2E"/>
          <w:sz w:val="22"/>
        </w:rPr>
        <w:t>monitorovať ceny, dostupnosť, predajcov, hodnotenia, zmeny a čerstvosť Zdrojových dát.</w:t>
      </w:r>
    </w:p>
    <w:p>
      <w:pPr>
        <w:pStyle w:val="ListBullet"/>
        <w:widowControl/>
        <w:jc w:val="both"/>
      </w:pPr>
      <w:r>
        <w:rPr>
          <w:rFonts w:ascii="Calibri" w:hAnsi="Calibri" w:cs="Calibri"/>
          <w:color w:val="1A1A2E"/>
          <w:sz w:val="22"/>
        </w:rPr>
        <w:t>vytvárať cenové stratégie, politiky, kampane, simulácie a vysvetliteľné odporúčania s pravidlami, limitmi, schvaľovaním a auditnou históriou.</w:t>
      </w:r>
    </w:p>
    <w:p>
      <w:pPr>
        <w:pStyle w:val="ListBullet"/>
        <w:widowControl/>
        <w:jc w:val="both"/>
      </w:pPr>
      <w:r>
        <w:rPr>
          <w:rFonts w:ascii="Calibri" w:hAnsi="Calibri" w:cs="Calibri"/>
          <w:color w:val="1A1A2E"/>
          <w:sz w:val="22"/>
        </w:rPr>
        <w:t>podporovať kontrolované publikovanie alebo doručenie schválených cien cez exporty, API a nakonfigurované Integrácie.</w:t>
      </w:r>
    </w:p>
    <w:p>
      <w:pPr>
        <w:pStyle w:val="ListBullet"/>
        <w:widowControl/>
        <w:jc w:val="both"/>
      </w:pPr>
      <w:r>
        <w:rPr>
          <w:rFonts w:ascii="Calibri" w:hAnsi="Calibri" w:cs="Calibri"/>
          <w:color w:val="1A1A2E"/>
          <w:sz w:val="22"/>
        </w:rPr>
        <w:t>prepájať údaje z e-commerce, analytických a iných systémov, vrátane vybraných feedov a analytických služieb.</w:t>
      </w:r>
    </w:p>
    <w:p>
      <w:pPr>
        <w:pStyle w:val="ListBullet"/>
        <w:widowControl/>
        <w:jc w:val="both"/>
      </w:pPr>
      <w:r>
        <w:rPr>
          <w:rFonts w:ascii="Calibri" w:hAnsi="Calibri" w:cs="Calibri"/>
          <w:color w:val="1A1A2E"/>
          <w:sz w:val="22"/>
        </w:rPr>
        <w:t>poskytovať AI asistenciu pri vysvetľovaní, návrhoch, diagnostike a príprave preskúmateľných zmien.</w:t>
      </w:r>
    </w:p>
    <w:p>
      <w:pPr>
        <w:keepNext w:val="0"/>
        <w:widowControl/>
        <w:jc w:val="both"/>
      </w:pPr>
      <w:r>
        <w:rPr>
          <w:rFonts w:ascii="Calibri" w:hAnsi="Calibri" w:cs="Calibri"/>
          <w:i w:val="0"/>
          <w:color w:val="1A1A2E"/>
          <w:sz w:val="22"/>
        </w:rPr>
        <w:t>Konkrétne funkcie, kvóty, zdroje, frekvencie, úložisko, počet používateľov a úroveň podpory určuje Objednávka, Cenník a Dokumentácia. Zobrazenie funkcie v rozhraní neznamená, že je súčasťou každého plánu.</w:t>
      </w:r>
    </w:p>
    <w:p>
      <w:pPr>
        <w:pStyle w:val="Heading2"/>
      </w:pPr>
      <w:r>
        <w:t>3.2 Zmeny a rozvoj Služby</w:t>
      </w:r>
    </w:p>
    <w:p>
      <w:pPr>
        <w:keepNext w:val="0"/>
        <w:widowControl/>
        <w:jc w:val="both"/>
      </w:pPr>
      <w:r>
        <w:rPr>
          <w:rFonts w:ascii="Calibri" w:hAnsi="Calibri" w:cs="Calibri"/>
          <w:i w:val="0"/>
          <w:color w:val="1A1A2E"/>
          <w:sz w:val="22"/>
        </w:rPr>
        <w:t>Poskytovateľ môže Službu priebežne opravovať, aktualizovať, meniť alebo nahrádzať, najmä z dôvodu bezpečnosti, súladu s právom, vývoja technológií alebo zmeny dodávateľov. Počas už zaplateného obdobia nebude bez primeraného dôvodu podstatne znižovať jadrovú funkcionalitu dohodnutú v Objednávke.</w:t>
      </w:r>
    </w:p>
    <w:p>
      <w:pPr>
        <w:keepNext w:val="0"/>
        <w:widowControl/>
        <w:jc w:val="both"/>
      </w:pPr>
      <w:r>
        <w:rPr>
          <w:rFonts w:ascii="Calibri" w:hAnsi="Calibri" w:cs="Calibri"/>
          <w:i w:val="0"/>
          <w:color w:val="1A1A2E"/>
          <w:sz w:val="22"/>
        </w:rPr>
        <w:t>Ak plánovaná zmena podstatne znižuje jadrovú funkcionalitu a Poskytovateľ neponúkne primeranú náhradu, oznámi ju vopred a Zákazník môže Zmluvu k účinnosti zmeny ukončiť. Poskytovateľ vráti pomernú časť vopred zaplatených poplatkov za nevyužité obdobie.</w:t>
      </w:r>
    </w:p>
    <w:p>
      <w:pPr>
        <w:pStyle w:val="Heading2"/>
      </w:pPr>
      <w:r>
        <w:t>3.3 Beta a experimentálne funkcie</w:t>
      </w:r>
    </w:p>
    <w:p>
      <w:pPr>
        <w:keepNext w:val="0"/>
        <w:widowControl/>
        <w:jc w:val="both"/>
      </w:pPr>
      <w:r>
        <w:rPr>
          <w:rFonts w:ascii="Calibri" w:hAnsi="Calibri" w:cs="Calibri"/>
          <w:i w:val="0"/>
          <w:color w:val="1A1A2E"/>
          <w:sz w:val="22"/>
        </w:rPr>
        <w:t>Funkcie označené ako beta, preview, experimentálne alebo bezplatné môžu byť zmenené či ukončené bez náhrady, nemusia byť úplné a nepodliehajú SLA, pokiaľ Objednávka výslovne neurčuje inak. Zákazník ich nesmie používať pre kritické rozhodnutia bez vlastného overenia a záložného postupu.</w:t>
      </w:r>
    </w:p>
    <w:p>
      <w:pPr>
        <w:pStyle w:val="Heading2"/>
      </w:pPr>
      <w:r>
        <w:t>3.4 Implementácia a súčinnosť</w:t>
      </w:r>
    </w:p>
    <w:p>
      <w:pPr>
        <w:keepNext w:val="0"/>
        <w:widowControl/>
        <w:jc w:val="both"/>
      </w:pPr>
      <w:r>
        <w:rPr>
          <w:rFonts w:ascii="Calibri" w:hAnsi="Calibri" w:cs="Calibri"/>
          <w:i w:val="0"/>
          <w:color w:val="1A1A2E"/>
          <w:sz w:val="22"/>
        </w:rPr>
        <w:t>Zákazník poskytne včas úplné a použiteľné Zákaznícke dáta a Zdrojové dáta, potrebné prístupy a poverenia, technické a obchodné kontakty, mapovania a rozhodnutia. Poskytne tiež primeranú súčinnosť pri konfigurácii, testovaní a zavedení Služby.</w:t>
      </w:r>
    </w:p>
    <w:p>
      <w:pPr>
        <w:keepNext w:val="0"/>
        <w:widowControl/>
        <w:jc w:val="both"/>
      </w:pPr>
      <w:r>
        <w:rPr>
          <w:rFonts w:ascii="Calibri" w:hAnsi="Calibri" w:cs="Calibri"/>
          <w:i w:val="0"/>
          <w:color w:val="1A1A2E"/>
          <w:sz w:val="22"/>
        </w:rPr>
        <w:t>Termíny implementácie a odhady sú orientačné, ak ich Objednávka výslovne neurčuje ako záväzné. Lehoty Poskytovateľa sa primerane predlžujú o omeškanie Zákazníka alebo tretej strany, nedostupnosť zdroja, chýbajúce či zmenené dáta a inú prekážku mimo primeranej kontroly Poskytovateľa. Poskytovateľ počas takej prekážky nie je v omeškaní v rozsahu, v akom mu bráni v plnení.</w:t>
      </w:r>
    </w:p>
    <w:p>
      <w:pPr>
        <w:pStyle w:val="Heading2"/>
      </w:pPr>
      <w:r>
        <w:t>3.5 Zmena rozsahu a akceptácia</w:t>
      </w:r>
    </w:p>
    <w:p>
      <w:pPr>
        <w:keepNext w:val="0"/>
        <w:widowControl/>
        <w:jc w:val="both"/>
      </w:pPr>
      <w:r>
        <w:rPr>
          <w:rFonts w:ascii="Calibri" w:hAnsi="Calibri" w:cs="Calibri"/>
          <w:i w:val="0"/>
          <w:color w:val="1A1A2E"/>
          <w:sz w:val="22"/>
        </w:rPr>
        <w:t>Zmena zdroja, mapovania, Integrácie, rozsahu, objemu alebo požiadavka na nový individuálny vývoj môže ovplyvniť cenu a termín. Ak ide o práce nad rámec Objednávky, Poskytovateľ ich vykoná po odsúhlasení písomnej zmeny, dodatku alebo samostatnej ponuky.</w:t>
      </w:r>
    </w:p>
    <w:p>
      <w:pPr>
        <w:keepNext w:val="0"/>
        <w:widowControl/>
        <w:jc w:val="both"/>
      </w:pPr>
      <w:r>
        <w:rPr>
          <w:rFonts w:ascii="Calibri" w:hAnsi="Calibri" w:cs="Calibri"/>
          <w:i w:val="0"/>
          <w:color w:val="1A1A2E"/>
          <w:sz w:val="22"/>
        </w:rPr>
        <w:t>Kritériá akceptácie určuje Objednávka alebo projektový plán. Ak ich neurčuje, implementácia alebo konfigurácia sa považuje za akceptovanú jej nasadením do produkčného používania Zákazníkom alebo márnym uplynutím 10 pracovných dní od oznámenia pripravenosti, ak Zákazník v tejto lehote neoznámi konkrétny podstatný nesúlad s dohodnutým rozsahom. Toto pravidlo sa nedotýka skrytých vád ani práv, ktoré nemožno platne obmedziť.</w:t>
      </w:r>
    </w:p>
    <w:p>
      <w:pPr>
        <w:pStyle w:val="Heading1"/>
        <w:pBdr>
          <w:bottom w:val="single" w:sz="4" w:space="4" w:color="4F46E5"/>
        </w:pBdr>
      </w:pPr>
      <w:r>
        <w:t>4. ÚČTY A OPRÁVNENÍ POUŽÍVATELIA</w:t>
      </w:r>
    </w:p>
    <w:p>
      <w:pPr>
        <w:pStyle w:val="Heading2"/>
      </w:pPr>
      <w:r>
        <w:t>4.1 Registrácia a správa účtu</w:t>
      </w:r>
    </w:p>
    <w:p>
      <w:pPr>
        <w:keepNext w:val="0"/>
        <w:widowControl/>
        <w:jc w:val="both"/>
      </w:pPr>
      <w:r>
        <w:rPr>
          <w:rFonts w:ascii="Calibri" w:hAnsi="Calibri" w:cs="Calibri"/>
          <w:i w:val="0"/>
          <w:color w:val="1A1A2E"/>
          <w:sz w:val="22"/>
        </w:rPr>
        <w:t>Zákazník poskytne pravdivé, úplné a aktuálne registračné, fakturačné a kontaktné údaje. Určí správcu účtu, ktorý riadi Oprávnených používateľov, roly, schvaľovacie oprávnenia, Integrácie a bezpečnostné nastavenia.</w:t>
      </w:r>
    </w:p>
    <w:p>
      <w:pPr>
        <w:keepNext w:val="0"/>
        <w:widowControl/>
        <w:jc w:val="both"/>
      </w:pPr>
      <w:r>
        <w:rPr>
          <w:rFonts w:ascii="Calibri" w:hAnsi="Calibri" w:cs="Calibri"/>
          <w:i w:val="0"/>
          <w:color w:val="1A1A2E"/>
          <w:sz w:val="22"/>
        </w:rPr>
        <w:t>Každý Oprávnený používateľ musí používať vlastné prihlasovacie údaje. Zdieľanie jedného používateľského účtu medzi viacerými osobami je zakázané, ak Poskytovateľ výslovne neposkytne technický účet určený na tento účel.</w:t>
      </w:r>
    </w:p>
    <w:p>
      <w:pPr>
        <w:pStyle w:val="Heading2"/>
      </w:pPr>
      <w:r>
        <w:t>4.2 Bezpečnosť účtu</w:t>
      </w:r>
    </w:p>
    <w:p>
      <w:pPr>
        <w:keepNext w:val="0"/>
        <w:widowControl/>
        <w:jc w:val="both"/>
      </w:pPr>
      <w:r>
        <w:rPr>
          <w:rFonts w:ascii="Calibri" w:hAnsi="Calibri" w:cs="Calibri"/>
          <w:i w:val="0"/>
          <w:color w:val="1A1A2E"/>
          <w:sz w:val="22"/>
        </w:rPr>
        <w:t>Zákazník a Oprávnení používatelia chránia heslá, API kľúče, tokeny a viacfaktorové autentifikačné prostriedky, nepoužívajú ich v rozpore s Dokumentáciou a bezodkladne oznámia podozrenie na neoprávnený prístup. Zákazník zodpovedá za činnosť uskutočnenú cez jeho účty v rozsahu, v akom ju mohol primerane ovplyvniť.</w:t>
      </w:r>
    </w:p>
    <w:p>
      <w:pPr>
        <w:keepNext w:val="0"/>
        <w:widowControl/>
        <w:jc w:val="both"/>
      </w:pPr>
      <w:r>
        <w:rPr>
          <w:rFonts w:ascii="Calibri" w:hAnsi="Calibri" w:cs="Calibri"/>
          <w:i w:val="0"/>
          <w:color w:val="1A1A2E"/>
          <w:sz w:val="22"/>
        </w:rPr>
        <w:t>Poskytovateľ môže dočasne zablokovať konkrétny účet, kľúč alebo Integráciu, ak má odôvodnené podozrenie na kompromitáciu, zneužitie alebo bezpečnostné riziko. Ak to okolnosti umožňujú, Zákazníka bezodkladne informuje.</w:t>
      </w:r>
    </w:p>
    <w:p>
      <w:pPr>
        <w:pStyle w:val="Heading2"/>
      </w:pPr>
      <w:r>
        <w:t>4.3 Auditné záznamy</w:t>
      </w:r>
    </w:p>
    <w:p>
      <w:pPr>
        <w:keepNext w:val="0"/>
        <w:widowControl/>
        <w:jc w:val="both"/>
      </w:pPr>
      <w:r>
        <w:rPr>
          <w:rFonts w:ascii="Calibri" w:hAnsi="Calibri" w:cs="Calibri"/>
          <w:i w:val="0"/>
          <w:color w:val="1A1A2E"/>
          <w:sz w:val="22"/>
        </w:rPr>
        <w:t>Služba môže zaznamenávať prihlásenia, zmeny konfigurácie, schválenia, odmietnutia, publikovanie, API volania a ďalšie prevádzkové udalosti. Tieto záznamy slúžia na bezpečnosť, podporu, účtovanie, audit a preukazovanie vykonaných úkonov. Ich rozsah a uchovávanie sa riadia Dokumentáciou, DPA a právnymi povinnosťami.</w:t>
      </w:r>
    </w:p>
    <w:p>
      <w:pPr>
        <w:keepNext w:val="0"/>
        <w:widowControl/>
        <w:jc w:val="both"/>
      </w:pPr>
      <w:r>
        <w:rPr>
          <w:rFonts w:ascii="Calibri" w:hAnsi="Calibri" w:cs="Calibri"/>
          <w:i w:val="0"/>
          <w:color w:val="1A1A2E"/>
          <w:sz w:val="22"/>
        </w:rPr>
        <w:t>Ak Zákazník nepreukáže opak, auditné a účtovné záznamy Služby sú vyvrátiteľným dôkazom vykonaných úkonov, schválení, API volaní, objemov, času a spotreby. Zákazník oznámi konkrétnu nezrovnalosť bez zbytočného odkladu, najneskôr do 30 dní od sprístupnenia príslušnej faktúry alebo záznamu, ak to povaha nezrovnalosti umožňuje. Neskoré oznámenie môže sťažiť jej reprodukciu, ale nedotýka sa práv, ktoré nemožno platne obmedziť.</w:t>
      </w:r>
    </w:p>
    <w:p>
      <w:pPr>
        <w:pStyle w:val="Heading1"/>
        <w:pBdr>
          <w:bottom w:val="single" w:sz="4" w:space="4" w:color="4F46E5"/>
        </w:pBdr>
      </w:pPr>
      <w:r>
        <w:t>5. PREDPLATNÉ, CENA A PLATBY</w:t>
      </w:r>
    </w:p>
    <w:p>
      <w:pPr>
        <w:pStyle w:val="Heading2"/>
      </w:pPr>
      <w:r>
        <w:t>5.1 Plány, limity a nadlimitné používanie</w:t>
      </w:r>
    </w:p>
    <w:p>
      <w:pPr>
        <w:keepNext w:val="0"/>
        <w:widowControl/>
        <w:jc w:val="both"/>
      </w:pPr>
      <w:r>
        <w:rPr>
          <w:rFonts w:ascii="Calibri" w:hAnsi="Calibri" w:cs="Calibri"/>
          <w:i w:val="0"/>
          <w:color w:val="1A1A2E"/>
          <w:sz w:val="22"/>
        </w:rPr>
        <w:t>Rozsah Predplatného, cena, mena, fakturačný cyklus, kvóty a prípadné doplnkové poplatky sú uvedené v Objednávke alebo Cenníku. Zákazník nesmie obchádzať limity rozdeľovaním účtov, kľúčov, zdrojov alebo požiadaviek.</w:t>
      </w:r>
    </w:p>
    <w:p>
      <w:pPr>
        <w:keepNext w:val="0"/>
        <w:widowControl/>
        <w:jc w:val="both"/>
      </w:pPr>
      <w:r>
        <w:rPr>
          <w:rFonts w:ascii="Calibri" w:hAnsi="Calibri" w:cs="Calibri"/>
          <w:i w:val="0"/>
          <w:color w:val="1A1A2E"/>
          <w:sz w:val="22"/>
        </w:rPr>
        <w:t>Ak plán povoľuje nadlimitné používanie, Poskytovateľ ho môže vyúčtovať podľa Cenníka. Ak ho plán nepovoľuje, Poskytovateľ môže príslušnú funkciu obmedziť do začiatku ďalšieho obdobia alebo do zakúpenia vyššieho limitu.</w:t>
      </w:r>
    </w:p>
    <w:p>
      <w:pPr>
        <w:pStyle w:val="Heading2"/>
      </w:pPr>
      <w:r>
        <w:t>5.2 Fakturácia a automatické obnovenie</w:t>
      </w:r>
    </w:p>
    <w:p>
      <w:pPr>
        <w:keepNext w:val="0"/>
        <w:widowControl/>
        <w:jc w:val="both"/>
      </w:pPr>
      <w:r>
        <w:rPr>
          <w:rFonts w:ascii="Calibri" w:hAnsi="Calibri" w:cs="Calibri"/>
          <w:i w:val="0"/>
          <w:color w:val="1A1A2E"/>
          <w:sz w:val="22"/>
        </w:rPr>
        <w:t>Predplatné sa fakturuje vopred mesačne, ročne alebo v inom cykle uvedenom v Objednávke. Ak Objednávka neuvádza opak, Predplatné sa po skončení obdobia automaticky obnoví na rovnako dlhé obdobie. Zákazník môže obnovenie vypnúť v nastavení účtu alebo postupom uvedeným v Objednávke pred začiatkom ďalšieho obdobia.</w:t>
      </w:r>
    </w:p>
    <w:p>
      <w:pPr>
        <w:keepNext w:val="0"/>
        <w:widowControl/>
        <w:jc w:val="both"/>
      </w:pPr>
      <w:r>
        <w:rPr>
          <w:rFonts w:ascii="Calibri" w:hAnsi="Calibri" w:cs="Calibri"/>
          <w:i w:val="0"/>
          <w:color w:val="1A1A2E"/>
          <w:sz w:val="22"/>
        </w:rPr>
        <w:t>Zrušenie automatického obnovenia neukončuje prístup okamžite. Predplatné spravidla trvá do konca zaplateného obdobia.</w:t>
      </w:r>
    </w:p>
    <w:p>
      <w:pPr>
        <w:keepNext w:val="0"/>
        <w:widowControl/>
        <w:jc w:val="both"/>
      </w:pPr>
      <w:r>
        <w:rPr>
          <w:rFonts w:ascii="Calibri" w:hAnsi="Calibri" w:cs="Calibri"/>
          <w:i w:val="0"/>
          <w:color w:val="1A1A2E"/>
          <w:sz w:val="22"/>
        </w:rPr>
        <w:t>Vypnutie obnovenia, obmedzenie používania alebo predčasné ukončenie z dôvodu na strane Zákazníka nezbavuje Zákazníka povinnosti uhradiť splatné poplatky ani poplatky dohodnuté za záväzné obdobie, ak Zmluva výslovne neumožňuje skoršie ukončenie bez tejto povinnosti.</w:t>
      </w:r>
    </w:p>
    <w:p>
      <w:pPr>
        <w:pStyle w:val="Heading2"/>
      </w:pPr>
      <w:r>
        <w:t>5.3 Skúšobné obdobie</w:t>
      </w:r>
    </w:p>
    <w:p>
      <w:pPr>
        <w:keepNext w:val="0"/>
        <w:widowControl/>
        <w:jc w:val="both"/>
      </w:pPr>
      <w:r>
        <w:rPr>
          <w:rFonts w:ascii="Calibri" w:hAnsi="Calibri" w:cs="Calibri"/>
          <w:i w:val="0"/>
          <w:color w:val="1A1A2E"/>
          <w:sz w:val="22"/>
        </w:rPr>
        <w:t>Dĺžka, funkcie, limity a platobné podmienky skúšobného obdobia sa zobrazia pri aktivácii. Ak Zákazník pri aktivácii autorizuje budúcu opakovanú platbu, Predplatné sa po skončení skúšobného obdobia zmení na platené a prvá platba sa vykoná podľa Objednávky, pokiaľ ho Zákazník predtým nezruší.</w:t>
      </w:r>
    </w:p>
    <w:p>
      <w:pPr>
        <w:keepNext w:val="0"/>
        <w:widowControl/>
        <w:jc w:val="both"/>
      </w:pPr>
      <w:r>
        <w:rPr>
          <w:rFonts w:ascii="Calibri" w:hAnsi="Calibri" w:cs="Calibri"/>
          <w:i w:val="0"/>
          <w:color w:val="1A1A2E"/>
          <w:sz w:val="22"/>
        </w:rPr>
        <w:t>Poskytovateľ môže skúšobný prístup odmietnuť alebo ukončiť pri opakovaných registráciách, zneužití, podvode alebo obchádzaní limitov.</w:t>
      </w:r>
    </w:p>
    <w:p>
      <w:pPr>
        <w:pStyle w:val="Heading2"/>
      </w:pPr>
      <w:r>
        <w:t>5.4 Platobní poskytovatelia</w:t>
      </w:r>
    </w:p>
    <w:p>
      <w:pPr>
        <w:keepNext w:val="0"/>
        <w:widowControl/>
        <w:jc w:val="both"/>
      </w:pPr>
      <w:r>
        <w:rPr>
          <w:rFonts w:ascii="Calibri" w:hAnsi="Calibri" w:cs="Calibri"/>
          <w:i w:val="0"/>
          <w:color w:val="1A1A2E"/>
          <w:sz w:val="22"/>
        </w:rPr>
        <w:t>Platby môžu spracúvať tretie strany, najmä Stripe alebo PayPal. Zákazník sa pri platbe riadi aj ich podmienkami. Poskytovateľ nespracúva ani neukladá úplné číslo platobnej karty alebo bezpečnostný kód. Môže však uchovávať identifikátor platby, stav, posledné číslice karty a údaje potrebné na účtovanie a riešenie reklamácií.</w:t>
      </w:r>
    </w:p>
    <w:p>
      <w:pPr>
        <w:pStyle w:val="Heading2"/>
      </w:pPr>
      <w:r>
        <w:t>5.5 Omeškanie</w:t>
      </w:r>
    </w:p>
    <w:p>
      <w:pPr>
        <w:keepNext w:val="0"/>
        <w:widowControl/>
        <w:jc w:val="both"/>
      </w:pPr>
      <w:r>
        <w:rPr>
          <w:rFonts w:ascii="Calibri" w:hAnsi="Calibri" w:cs="Calibri"/>
          <w:i w:val="0"/>
          <w:color w:val="1A1A2E"/>
          <w:sz w:val="22"/>
        </w:rPr>
        <w:t>Ak platba zlyhá alebo je po splatnosti, Poskytovateľ môže po upozornení označiť Predplatné ako neuhradené, obmedziť funkcie, zastaviť nové úlohy alebo pozastaviť prístup. Tým nie je dotknutá povinnosť uhradiť splatné sumy ani zákonný nárok na úroky z omeškania a náklady spojené s uplatnením pohľadávky.</w:t>
      </w:r>
    </w:p>
    <w:p>
      <w:pPr>
        <w:pStyle w:val="Heading2"/>
      </w:pPr>
      <w:r>
        <w:t>5.6 Dane</w:t>
      </w:r>
    </w:p>
    <w:p>
      <w:pPr>
        <w:keepNext w:val="0"/>
        <w:widowControl/>
        <w:jc w:val="both"/>
      </w:pPr>
      <w:r>
        <w:rPr>
          <w:rFonts w:ascii="Calibri" w:hAnsi="Calibri" w:cs="Calibri"/>
          <w:i w:val="0"/>
          <w:color w:val="1A1A2E"/>
          <w:sz w:val="22"/>
        </w:rPr>
        <w:t>Ceny sú uvedené bez DPH a iných daní, ak nie je výslovne uvedené inak. Zákazník poskytne údaje potrebné na správne daňové posúdenie a uhradí dane a poplatky, ktoré sa podľa práva pripočítavajú k cene. Dane z príjmu Poskytovateľa znáša Poskytovateľ.</w:t>
      </w:r>
    </w:p>
    <w:p>
      <w:pPr>
        <w:pStyle w:val="Heading2"/>
      </w:pPr>
      <w:r>
        <w:t>5.7 Vrátenie platieb</w:t>
      </w:r>
    </w:p>
    <w:p>
      <w:pPr>
        <w:keepNext w:val="0"/>
        <w:widowControl/>
        <w:jc w:val="both"/>
      </w:pPr>
      <w:r>
        <w:rPr>
          <w:rFonts w:ascii="Calibri" w:hAnsi="Calibri" w:cs="Calibri"/>
          <w:i w:val="0"/>
          <w:color w:val="1A1A2E"/>
          <w:sz w:val="22"/>
        </w:rPr>
        <w:t>Poplatky sú po začatí príslušného obdobia nevratné, okrem prípadov výslovne uvedených v týchto Podmienkach, Objednávke alebo kogentnom práve. Ak Poskytovateľ ukončí platenú Zmluvu bez porušenia na strane Zákazníka, vráti pomernú časť vopred zaplatených poplatkov za nevyužité obdobie.</w:t>
      </w:r>
    </w:p>
    <w:p>
      <w:pPr>
        <w:pStyle w:val="Heading2"/>
      </w:pPr>
      <w:r>
        <w:t>5.8 Zmeny cien</w:t>
      </w:r>
    </w:p>
    <w:p>
      <w:pPr>
        <w:keepNext w:val="0"/>
        <w:widowControl/>
        <w:jc w:val="both"/>
      </w:pPr>
      <w:r>
        <w:rPr>
          <w:rFonts w:ascii="Calibri" w:hAnsi="Calibri" w:cs="Calibri"/>
          <w:i w:val="0"/>
          <w:color w:val="1A1A2E"/>
          <w:sz w:val="22"/>
        </w:rPr>
        <w:t>Zmenu opakovanej ceny Poskytovateľ oznámi najmenej 30 dní pred začiatkom obdobia, v ktorom sa má nová cena uplatniť. Zmena neovplyvní už zaplatené obdobie. Ak Zákazník s novou cenou nesúhlasí, môže vypnúť obnovenie Predplatného.</w:t>
      </w:r>
    </w:p>
    <w:p>
      <w:pPr>
        <w:pStyle w:val="Heading1"/>
        <w:pBdr>
          <w:bottom w:val="single" w:sz="4" w:space="4" w:color="4F46E5"/>
        </w:pBdr>
      </w:pPr>
      <w:r>
        <w:t>6. PRÁVO POUŽÍVAŤ SLUŽBU, API A DOKUMENTÁCIU</w:t>
      </w:r>
    </w:p>
    <w:p>
      <w:pPr>
        <w:pStyle w:val="Heading2"/>
      </w:pPr>
      <w:r>
        <w:t>6.1 Obmedzené právo používania</w:t>
      </w:r>
    </w:p>
    <w:p>
      <w:pPr>
        <w:keepNext w:val="0"/>
        <w:widowControl/>
        <w:jc w:val="both"/>
      </w:pPr>
      <w:r>
        <w:rPr>
          <w:rFonts w:ascii="Calibri" w:hAnsi="Calibri" w:cs="Calibri"/>
          <w:i w:val="0"/>
          <w:color w:val="1A1A2E"/>
          <w:sz w:val="22"/>
        </w:rPr>
        <w:t>Počas trvania Predplatného udeľuje Poskytovateľ Zákazníkovi obmedzené, nevýhradné, neprenosné a nesublicencovateľné právo umožniť Oprávneným používateľom používať Službu na interné obchodné účely Zákazníka v súlade so Zmluvou.</w:t>
      </w:r>
    </w:p>
    <w:p>
      <w:pPr>
        <w:keepNext w:val="0"/>
        <w:widowControl/>
        <w:jc w:val="both"/>
      </w:pPr>
      <w:r>
        <w:rPr>
          <w:rFonts w:ascii="Calibri" w:hAnsi="Calibri" w:cs="Calibri"/>
          <w:i w:val="0"/>
          <w:color w:val="1A1A2E"/>
          <w:sz w:val="22"/>
        </w:rPr>
        <w:t>Dodávateľ alebo prepojená osoba Zákazníka môže Službu používať iba vtedy, ak to povoľuje plán alebo Objednávka, koná pre Zákazníka a je viazaná najmenej rovnakými povinnosťami. Zákazník zodpovedá za jej používanie Služby.</w:t>
      </w:r>
    </w:p>
    <w:p>
      <w:pPr>
        <w:pStyle w:val="Heading2"/>
      </w:pPr>
      <w:r>
        <w:t>6.2 API a technické účty</w:t>
      </w:r>
    </w:p>
    <w:p>
      <w:pPr>
        <w:keepNext w:val="0"/>
        <w:widowControl/>
        <w:jc w:val="both"/>
      </w:pPr>
      <w:r>
        <w:rPr>
          <w:rFonts w:ascii="Calibri" w:hAnsi="Calibri" w:cs="Calibri"/>
          <w:i w:val="0"/>
          <w:color w:val="1A1A2E"/>
          <w:sz w:val="22"/>
        </w:rPr>
        <w:t>API možno používať iba podľa Dokumentácie, pridelených rozsahov oprávnení a limitov. API kľúče a technické tokeny sú dôverné. Zákazník nesmie meniť hlavičky, identifikátory ani spôsob volania s cieľom obísť kvóty, autorizáciu, audit alebo bezpečnostné kontroly.</w:t>
      </w:r>
    </w:p>
    <w:p>
      <w:pPr>
        <w:keepNext w:val="0"/>
        <w:widowControl/>
        <w:jc w:val="both"/>
      </w:pPr>
      <w:r>
        <w:rPr>
          <w:rFonts w:ascii="Calibri" w:hAnsi="Calibri" w:cs="Calibri"/>
          <w:i w:val="0"/>
          <w:color w:val="1A1A2E"/>
          <w:sz w:val="22"/>
        </w:rPr>
        <w:t>Poskytovateľ môže zaviesť primerané limity rýchlosti, veľkosti požiadaviek a súbehu úloh a môže odmietnuť volania, ktoré ohrozujú stabilitu, bezpečnosť alebo spravodlivé používanie Služby.</w:t>
      </w:r>
    </w:p>
    <w:p>
      <w:pPr>
        <w:pStyle w:val="Heading2"/>
      </w:pPr>
      <w:r>
        <w:t>6.3 Dokumentácia</w:t>
      </w:r>
    </w:p>
    <w:p>
      <w:pPr>
        <w:keepNext w:val="0"/>
        <w:widowControl/>
        <w:jc w:val="both"/>
      </w:pPr>
      <w:r>
        <w:rPr>
          <w:rFonts w:ascii="Calibri" w:hAnsi="Calibri" w:cs="Calibri"/>
          <w:i w:val="0"/>
          <w:color w:val="1A1A2E"/>
          <w:sz w:val="22"/>
        </w:rPr>
        <w:t>Zákazník môže Dokumentáciu interne používať a rozmnožiť v rozsahu potrebnom na využívanie Služby. Nesmie ju verejne distribuovať, odstraňovať označenia práv alebo ju používať na vytvorenie konkurenčnej služby.</w:t>
      </w:r>
    </w:p>
    <w:p>
      <w:pPr>
        <w:pStyle w:val="Heading1"/>
        <w:pBdr>
          <w:bottom w:val="single" w:sz="4" w:space="4" w:color="4F46E5"/>
        </w:pBdr>
      </w:pPr>
      <w:r>
        <w:t>7. ZÁKAZNÍCKE DÁTA, ZDROJE A VÝSTUPY</w:t>
      </w:r>
    </w:p>
    <w:p>
      <w:pPr>
        <w:pStyle w:val="Heading2"/>
      </w:pPr>
      <w:r>
        <w:t>7.1 Zákaznícke dáta</w:t>
      </w:r>
    </w:p>
    <w:p>
      <w:pPr>
        <w:keepNext w:val="0"/>
        <w:widowControl/>
        <w:jc w:val="both"/>
      </w:pPr>
      <w:r>
        <w:rPr>
          <w:rFonts w:ascii="Calibri" w:hAnsi="Calibri" w:cs="Calibri"/>
          <w:i w:val="0"/>
          <w:color w:val="1A1A2E"/>
          <w:sz w:val="22"/>
        </w:rPr>
        <w:t>Zákazník si zachováva svoje práva k Zákazníckym dátam. Na dobu potrebnú na poskytovanie Služby udeľuje Poskytovateľovi a jeho subdodávateľom nevýhradné oprávnenie Zákaznícke dáta hostovať, kopírovať, prenášať, validovať, transformovať, analyzovať, zobrazovať a inak spracúvať výlučne na účely plnenia Zmluvy, podpory, bezpečnosti a splnenia právnych povinností.</w:t>
      </w:r>
    </w:p>
    <w:p>
      <w:pPr>
        <w:keepNext w:val="0"/>
        <w:widowControl/>
        <w:jc w:val="both"/>
      </w:pPr>
      <w:r>
        <w:rPr>
          <w:rFonts w:ascii="Calibri" w:hAnsi="Calibri" w:cs="Calibri"/>
          <w:i w:val="0"/>
          <w:color w:val="1A1A2E"/>
          <w:sz w:val="22"/>
        </w:rPr>
        <w:t>Zákazník zodpovedá za zákonnosť, presnosť, kvalitu a získanie práv, súhlasov a informačných povinností potrebných pre Zákaznícke dáta a pokyny, ktoré poskytne. Nesmie do Služby vkladať údaje, ktorých spracúvanie Zmluva, Dokumentácia alebo právo nepovoľuje.</w:t>
      </w:r>
    </w:p>
    <w:p>
      <w:pPr>
        <w:pStyle w:val="Heading2"/>
      </w:pPr>
      <w:r>
        <w:t>7.2 Pokyny na zber a prístup k zdrojom</w:t>
      </w:r>
    </w:p>
    <w:p>
      <w:pPr>
        <w:keepNext w:val="0"/>
        <w:widowControl/>
        <w:jc w:val="both"/>
      </w:pPr>
      <w:r>
        <w:rPr>
          <w:rFonts w:ascii="Calibri" w:hAnsi="Calibri" w:cs="Calibri"/>
          <w:i w:val="0"/>
          <w:color w:val="1A1A2E"/>
          <w:sz w:val="22"/>
        </w:rPr>
        <w:t>Ak Zákazník určí webovú stránku, feed, súbor, API, účet alebo iný zdroj, potvrdzuje, že je oprávnený taký zdroj určiť a že zvolený rozsah prístupu a použitia je zákonný. Pri neverejnom alebo autentifikovanom zdroji musí mať Zákazník výslovné oprávnenie poskytnúť prístup Službe.</w:t>
      </w:r>
    </w:p>
    <w:p>
      <w:pPr>
        <w:keepNext w:val="0"/>
        <w:widowControl/>
        <w:jc w:val="both"/>
      </w:pPr>
      <w:r>
        <w:rPr>
          <w:rFonts w:ascii="Calibri" w:hAnsi="Calibri" w:cs="Calibri"/>
          <w:i w:val="0"/>
          <w:color w:val="1A1A2E"/>
          <w:sz w:val="22"/>
        </w:rPr>
        <w:t>Zákazník nesmie požadovať obchádzanie prístupových obmedzení, technických ochranných opatrení, plateného prístupu, zákazu automatizovaného prístupu alebo iných opatrení, na ktorých obchádzanie nemá právo.</w:t>
      </w:r>
    </w:p>
    <w:p>
      <w:pPr>
        <w:keepNext w:val="0"/>
        <w:widowControl/>
        <w:jc w:val="both"/>
      </w:pPr>
      <w:r>
        <w:rPr>
          <w:rFonts w:ascii="Calibri" w:hAnsi="Calibri" w:cs="Calibri"/>
          <w:i w:val="0"/>
          <w:color w:val="1A1A2E"/>
          <w:sz w:val="22"/>
        </w:rPr>
        <w:t>Poskytovateľ môže odmietnuť, obmedziť alebo ukončiť zber z konkrétneho zdroja alebo konkrétnou metódou, ak to vyžaduje právo, rozhodnutie orgánu, oprávnená požiadavka tretej strany, bezpečnosť, technická realizovateľnosť alebo primerané riadenie rizika.</w:t>
      </w:r>
    </w:p>
    <w:p>
      <w:pPr>
        <w:pStyle w:val="Heading2"/>
      </w:pPr>
      <w:r>
        <w:t>7.3 Povaha Zdrojových dát</w:t>
      </w:r>
    </w:p>
    <w:p>
      <w:pPr>
        <w:keepNext w:val="0"/>
        <w:widowControl/>
        <w:jc w:val="both"/>
      </w:pPr>
      <w:r>
        <w:rPr>
          <w:rFonts w:ascii="Calibri" w:hAnsi="Calibri" w:cs="Calibri"/>
          <w:i w:val="0"/>
          <w:color w:val="1A1A2E"/>
          <w:sz w:val="22"/>
        </w:rPr>
        <w:t>Zdrojové dáta môžu pochádzať z verejne dostupných stránok, feedov a služieb tretích strán. Ich dostupnosť, štruktúra, význam, časová pečiatka a presnosť závisia od zdroja a môžu sa meniť bez upozornenia. Poskytovateľ nevlastní obsah tretích strán a jeho spracovanie nemení práva pôvodného vlastníka.</w:t>
      </w:r>
    </w:p>
    <w:p>
      <w:pPr>
        <w:keepNext w:val="0"/>
        <w:widowControl/>
        <w:jc w:val="both"/>
      </w:pPr>
      <w:r>
        <w:rPr>
          <w:rFonts w:ascii="Calibri" w:hAnsi="Calibri" w:cs="Calibri"/>
          <w:i w:val="0"/>
          <w:color w:val="1A1A2E"/>
          <w:sz w:val="22"/>
        </w:rPr>
        <w:t>Služba môže dočasne uchovávať technické odpovede, HTML, snímky obrazovky, validačné dôkazy a prevádzkové metadáta, ak je to potrebné na diagnostiku, kontrolu a preukázanie pôvodu údajov. Doby uchovávania sa riadia Dokumentáciou, DPA a Zásadami ochrany osobných údajov.</w:t>
      </w:r>
    </w:p>
    <w:p>
      <w:pPr>
        <w:pStyle w:val="Heading2"/>
      </w:pPr>
      <w:r>
        <w:t>7.4 Presnosť, čerstvosť a overenie</w:t>
      </w:r>
    </w:p>
    <w:p>
      <w:pPr>
        <w:keepNext w:val="0"/>
        <w:widowControl/>
        <w:jc w:val="both"/>
      </w:pPr>
      <w:r>
        <w:rPr>
          <w:rFonts w:ascii="Calibri" w:hAnsi="Calibri" w:cs="Calibri"/>
          <w:i w:val="0"/>
          <w:color w:val="1A1A2E"/>
          <w:sz w:val="22"/>
        </w:rPr>
        <w:t>Poskytovateľ používa primerané validačné a kontrolné mechanizmy, ale nezaručuje, že Zdrojové dáta alebo Výstupy sú vždy úplné, aktuálne, bezchybné alebo vhodné na konkrétne rozhodnutie. Zlyhanie zdroja, zmena stránky, nejednoznačné párovanie, mena, DPH, doprava, sklad, variant produktu alebo oneskorenie synchronizácie môžu výsledok ovplyvniť.</w:t>
      </w:r>
    </w:p>
    <w:p>
      <w:pPr>
        <w:keepNext w:val="0"/>
        <w:widowControl/>
        <w:jc w:val="both"/>
      </w:pPr>
      <w:r>
        <w:rPr>
          <w:rFonts w:ascii="Calibri" w:hAnsi="Calibri" w:cs="Calibri"/>
          <w:i w:val="0"/>
          <w:color w:val="1A1A2E"/>
          <w:sz w:val="22"/>
        </w:rPr>
        <w:t>Zákazník musí pred použitím Výstupov skontrolovať ich zdroj, čas, kontext, pravidlá, predpoklady, dostupné dôkazy a stav schválenia, najmä pri cenách s významným obchodným alebo právnym dopadom.</w:t>
      </w:r>
    </w:p>
    <w:p>
      <w:pPr>
        <w:pStyle w:val="Heading2"/>
      </w:pPr>
      <w:r>
        <w:t>7.5 Použitie Výstupov</w:t>
      </w:r>
    </w:p>
    <w:p>
      <w:pPr>
        <w:keepNext w:val="0"/>
        <w:widowControl/>
        <w:jc w:val="both"/>
      </w:pPr>
      <w:r>
        <w:rPr>
          <w:rFonts w:ascii="Calibri" w:hAnsi="Calibri" w:cs="Calibri"/>
          <w:i w:val="0"/>
          <w:color w:val="1A1A2E"/>
          <w:sz w:val="22"/>
        </w:rPr>
        <w:t>Zákazník môže Výstupy používať pre svoje interné obchodné účely a exportovať ich v rozsahu plánu. Ich ďalšie zverejnenie, predaj, licencovanie alebo distribúcia tretím stranám je dovolená len so súhlasom Poskytovateľa a v rozsahu práv k príslušným Zdrojovým dátam. Zákazník zodpovedá za zákonnosť svojho konkrétneho použitia Výstupov.</w:t>
      </w:r>
    </w:p>
    <w:p>
      <w:pPr>
        <w:pStyle w:val="Heading2"/>
      </w:pPr>
      <w:r>
        <w:t>7.6 Kontrola dát a reprodukcia</w:t>
      </w:r>
    </w:p>
    <w:p>
      <w:pPr>
        <w:keepNext w:val="0"/>
        <w:widowControl/>
        <w:jc w:val="both"/>
      </w:pPr>
      <w:r>
        <w:rPr>
          <w:rFonts w:ascii="Calibri" w:hAnsi="Calibri" w:cs="Calibri"/>
          <w:i w:val="0"/>
          <w:color w:val="1A1A2E"/>
          <w:sz w:val="22"/>
        </w:rPr>
        <w:t>Pred aktiváciou automatizácie Zákazník overí reprezentatívnu vzorku párovania produktov, mapovanie zdrojov, menu, DPH, dopravu, sklad, čerstvosť dát a nastavené prahy. Zákazník priebežne kontroluje, či zmeny zdroja alebo jeho sortimentu nevyžadujú úpravu konfigurácie.</w:t>
      </w:r>
    </w:p>
    <w:p>
      <w:pPr>
        <w:keepNext w:val="0"/>
        <w:widowControl/>
        <w:jc w:val="both"/>
      </w:pPr>
      <w:r>
        <w:rPr>
          <w:rFonts w:ascii="Calibri" w:hAnsi="Calibri" w:cs="Calibri"/>
          <w:i w:val="0"/>
          <w:color w:val="1A1A2E"/>
          <w:sz w:val="22"/>
        </w:rPr>
        <w:t>Konkrétnu vadu dátového súboru alebo historického zberu Zákazník oznámi bez zbytočného odkladu, spravidla do 14 dní od jeho sprístupnenia. Hlásenie uvedie dotknutý zdroj, čas, produkt alebo iný identifikátor a reprezentatívny príklad tak, aby bolo možné vadu reprodukovať.</w:t>
      </w:r>
    </w:p>
    <w:p>
      <w:pPr>
        <w:keepNext w:val="0"/>
        <w:widowControl/>
        <w:jc w:val="both"/>
      </w:pPr>
      <w:r>
        <w:rPr>
          <w:rFonts w:ascii="Calibri" w:hAnsi="Calibri" w:cs="Calibri"/>
          <w:i w:val="0"/>
          <w:color w:val="1A1A2E"/>
          <w:sz w:val="22"/>
        </w:rPr>
        <w:t>Po uplynutí lehôt uchovávania alebo prevádzkovej kontrolnej lehoty môže Poskytovateľ vymazať surové technické odpovede a dôkazy. Následne nemusí byť možné spätne reprodukovať stav zdroja. Táto kontrolná lehota nepredstavuje vzdanie sa nárokov ani neobmedzuje práva, ktoré nemožno platne obmedziť.</w:t>
      </w:r>
    </w:p>
    <w:p>
      <w:pPr>
        <w:pStyle w:val="Heading1"/>
        <w:pBdr>
          <w:bottom w:val="single" w:sz="4" w:space="4" w:color="4F46E5"/>
        </w:pBdr>
      </w:pPr>
      <w:r>
        <w:t>8. CENOVÉ ROZHODNUTIA, AUTOMATIZÁCIA A AI</w:t>
      </w:r>
    </w:p>
    <w:p>
      <w:pPr>
        <w:pStyle w:val="Heading2"/>
      </w:pPr>
      <w:r>
        <w:t>8.1 Nástroj na podporu rozhodovania</w:t>
      </w:r>
    </w:p>
    <w:p>
      <w:pPr>
        <w:keepNext w:val="0"/>
        <w:widowControl/>
        <w:jc w:val="both"/>
      </w:pPr>
      <w:r>
        <w:rPr>
          <w:rFonts w:ascii="Calibri" w:hAnsi="Calibri" w:cs="Calibri"/>
          <w:i w:val="0"/>
          <w:color w:val="1A1A2E"/>
          <w:sz w:val="22"/>
        </w:rPr>
        <w:t>Reevals je nástroj na podporu obchodného rozhodovania. Poskytovateľ nie je cenovým, daňovým, účtovným ani právnym poradcom Zákazníka a nepreberá úlohu predajcu voči koncovým zákazníkom. Zákazník zostáva výlučne zodpovedný za konečnú cenu, zľavu, segment, kampaň, publikovanie a obchodné dôsledky svojho rozhodnutia.</w:t>
      </w:r>
    </w:p>
    <w:p>
      <w:pPr>
        <w:keepNext w:val="0"/>
        <w:widowControl/>
        <w:jc w:val="both"/>
      </w:pPr>
      <w:r>
        <w:rPr>
          <w:rFonts w:ascii="Calibri" w:hAnsi="Calibri" w:cs="Calibri"/>
          <w:i w:val="0"/>
          <w:color w:val="1A1A2E"/>
          <w:sz w:val="22"/>
        </w:rPr>
        <w:t>Zákazník musí zabezpečiť súlad najmä s pravidlami hospodárskej súťaže, ochrany spotrebiteľa, uvádzania predchádzajúcej ceny a zliav, personalizovanej tvorby cien, zákazu diskriminácie, daňami, zmluvami s dodávateľmi a pravidlami trhovísk.</w:t>
      </w:r>
    </w:p>
    <w:p>
      <w:pPr>
        <w:keepNext w:val="0"/>
        <w:widowControl/>
        <w:jc w:val="both"/>
      </w:pPr>
      <w:r>
        <w:rPr>
          <w:rFonts w:ascii="Calibri" w:hAnsi="Calibri" w:cs="Calibri"/>
          <w:i w:val="0"/>
          <w:color w:val="1A1A2E"/>
          <w:sz w:val="22"/>
        </w:rPr>
        <w:t>Párovanie, priemerovanie, imputácia, vyhodnotenie dostupnosti, zaokrúhľovanie a iné metodické predpoklady môžu podstatne ovplyvniť Výstupy. Zákazník pred použitím overí, či predpoklady a nastavenia sprístupnené v Dokumentácii alebo rozhraní zodpovedajú jeho prípadu použitia.</w:t>
      </w:r>
    </w:p>
    <w:p>
      <w:pPr>
        <w:pStyle w:val="Heading2"/>
      </w:pPr>
      <w:r>
        <w:t>8.2 Hospodárska súťaž</w:t>
      </w:r>
    </w:p>
    <w:p>
      <w:pPr>
        <w:keepNext w:val="0"/>
        <w:widowControl/>
        <w:jc w:val="both"/>
      </w:pPr>
      <w:r>
        <w:rPr>
          <w:rFonts w:ascii="Calibri" w:hAnsi="Calibri" w:cs="Calibri"/>
          <w:i w:val="0"/>
          <w:color w:val="1A1A2E"/>
          <w:sz w:val="22"/>
        </w:rPr>
        <w:t>Zákazník nesmie Službu používať na dohodu alebo koordináciu cien, rozdelenie trhu, obmedzenie výroby alebo predaja, výmenu neverejných konkurenčne citlivých informácií ani inú protisúťažnú praktiku. Služba je určená na nezávislé rozhodovanie Zákazníka na základe zákonne dostupných vstupov a jeho vlastných pravidiel.</w:t>
      </w:r>
    </w:p>
    <w:p>
      <w:pPr>
        <w:pStyle w:val="Heading2"/>
      </w:pPr>
      <w:r>
        <w:t>8.3 AI výstupy</w:t>
      </w:r>
    </w:p>
    <w:p>
      <w:pPr>
        <w:keepNext w:val="0"/>
        <w:widowControl/>
        <w:jc w:val="both"/>
      </w:pPr>
      <w:r>
        <w:rPr>
          <w:rFonts w:ascii="Calibri" w:hAnsi="Calibri" w:cs="Calibri"/>
          <w:i w:val="0"/>
          <w:color w:val="1A1A2E"/>
          <w:sz w:val="22"/>
        </w:rPr>
        <w:t>AI funkcie vytvárajú pravdepodobnostné výstupy a môžu byť nepresné, neúplné, neaktuálne alebo nevhodné. Výstup AI nie je autoritatívnym zdrojom skutkových tvrdení ani náhradou odbornej kontroly. Zákazník nesmie automaticky spoliehať na voľný text AI pri rozhodnutí, ktoré môže mať významný finančný, právny alebo reputačný dopad.</w:t>
      </w:r>
    </w:p>
    <w:p>
      <w:pPr>
        <w:keepNext w:val="0"/>
        <w:widowControl/>
        <w:jc w:val="both"/>
      </w:pPr>
      <w:r>
        <w:rPr>
          <w:rFonts w:ascii="Calibri" w:hAnsi="Calibri" w:cs="Calibri"/>
          <w:i w:val="0"/>
          <w:color w:val="1A1A2E"/>
          <w:sz w:val="22"/>
        </w:rPr>
        <w:t>Zákazník nesmie do AI funkcií vkladať heslá, tajné kľúče, osobitné kategórie osobných údajov ani údaje podliehajúce osobitnému režimu, ak to Dokumentácia a DPA výslovne nepovoľujú.</w:t>
      </w:r>
    </w:p>
    <w:p>
      <w:pPr>
        <w:pStyle w:val="Heading2"/>
      </w:pPr>
      <w:r>
        <w:t>8.4 Schvaľovanie a vykonanie</w:t>
      </w:r>
    </w:p>
    <w:p>
      <w:pPr>
        <w:keepNext w:val="0"/>
        <w:widowControl/>
        <w:jc w:val="both"/>
      </w:pPr>
      <w:r>
        <w:rPr>
          <w:rFonts w:ascii="Calibri" w:hAnsi="Calibri" w:cs="Calibri"/>
          <w:i w:val="0"/>
          <w:color w:val="1A1A2E"/>
          <w:sz w:val="22"/>
        </w:rPr>
        <w:t>Generatívny AI výstup sám osebe neoprávňuje na publikovanie ceny alebo inú externú zmenu. Vykonanie prebehne len cez povolený pracovný postup, oprávnenia, technické validácie, ochranné pravidlá a schvaľovací alebo automatizačný režim nakonfigurovaný Zákazníkom.</w:t>
      </w:r>
    </w:p>
    <w:p>
      <w:pPr>
        <w:keepNext w:val="0"/>
        <w:widowControl/>
        <w:jc w:val="both"/>
      </w:pPr>
      <w:r>
        <w:rPr>
          <w:rFonts w:ascii="Calibri" w:hAnsi="Calibri" w:cs="Calibri"/>
          <w:i w:val="0"/>
          <w:color w:val="1A1A2E"/>
          <w:sz w:val="22"/>
        </w:rPr>
        <w:t>Ak Zákazník zapne automatické schválenie, plánovanie alebo publikovanie, zodpovedá za zvolené prahy, rozsah, pravidlá, zdroje, poverenia a priebežnú kontrolu. Zákazník musí zachovať primeranú ľudskú kontrolu a núdzový postup na zastavenie alebo nápravu chybnej zmeny.</w:t>
      </w:r>
    </w:p>
    <w:p>
      <w:pPr>
        <w:pStyle w:val="Heading2"/>
      </w:pPr>
      <w:r>
        <w:t>8.5 Akceptácia konfigurácie automatizácie</w:t>
      </w:r>
    </w:p>
    <w:p>
      <w:pPr>
        <w:keepNext w:val="0"/>
        <w:widowControl/>
        <w:jc w:val="both"/>
      </w:pPr>
      <w:r>
        <w:rPr>
          <w:rFonts w:ascii="Calibri" w:hAnsi="Calibri" w:cs="Calibri"/>
          <w:i w:val="0"/>
          <w:color w:val="1A1A2E"/>
          <w:sz w:val="22"/>
        </w:rPr>
        <w:t>Zákazník pred spustením schváli alebo sám aktivuje pravidlá, prahy, ochranné mechanizmy a cieľové systémy automatizácie. Produkčné používanie alebo výslovné schválenie potvrdzuje, že konfigurácia v danom čase zodpovedá pokynom Zákazníka.</w:t>
      </w:r>
    </w:p>
    <w:p>
      <w:pPr>
        <w:keepNext w:val="0"/>
        <w:widowControl/>
        <w:jc w:val="both"/>
      </w:pPr>
      <w:r>
        <w:rPr>
          <w:rFonts w:ascii="Calibri" w:hAnsi="Calibri" w:cs="Calibri"/>
          <w:i w:val="0"/>
          <w:color w:val="1A1A2E"/>
          <w:sz w:val="22"/>
        </w:rPr>
        <w:t>Poskytovateľ nezodpovedá za následok v rozsahu, v akom ho spôsobila Zákazníkom schválená konfigurácia, jej neskoršia zmena, neúplné vstupy, ignorované upozornenie alebo nedostatočný dohľad Zákazníka. Toto ustanovenie nevylučuje zodpovednosť Poskytovateľa za jeho vlastné porušenie povinnosti.</w:t>
      </w:r>
    </w:p>
    <w:p>
      <w:pPr>
        <w:pStyle w:val="Heading1"/>
        <w:pBdr>
          <w:bottom w:val="single" w:sz="4" w:space="4" w:color="4F46E5"/>
        </w:pBdr>
      </w:pPr>
      <w:r>
        <w:t>9. INTEGRÁCIE A SLUŽBY TRETÍCH STRÁN</w:t>
      </w:r>
    </w:p>
    <w:p>
      <w:pPr>
        <w:pStyle w:val="Heading2"/>
      </w:pPr>
      <w:r>
        <w:t>9.1 Integrácie</w:t>
      </w:r>
    </w:p>
    <w:p>
      <w:pPr>
        <w:keepNext w:val="0"/>
        <w:widowControl/>
        <w:jc w:val="both"/>
      </w:pPr>
      <w:r>
        <w:rPr>
          <w:rFonts w:ascii="Calibri" w:hAnsi="Calibri" w:cs="Calibri"/>
          <w:i w:val="0"/>
          <w:color w:val="1A1A2E"/>
          <w:sz w:val="22"/>
        </w:rPr>
        <w:t>Služba môže komunikovať s platobnými, hostingovými, analytickými, e-commerce, ERP, dátovými, komunikačnými a AI službami tretích strán. Aktiváciou Integrácie Zákazník poveruje Poskytovateľa, aby v rozsahu konfigurácie odosielal a prijímal dáta a vykonával technické úkony v jeho mene.</w:t>
      </w:r>
    </w:p>
    <w:p>
      <w:pPr>
        <w:keepNext w:val="0"/>
        <w:widowControl/>
        <w:jc w:val="both"/>
      </w:pPr>
      <w:r>
        <w:rPr>
          <w:rFonts w:ascii="Calibri" w:hAnsi="Calibri" w:cs="Calibri"/>
          <w:i w:val="0"/>
          <w:color w:val="1A1A2E"/>
          <w:sz w:val="22"/>
        </w:rPr>
        <w:t>Zákazník zabezpečí oprávnenia, licencie, účty a súhlasy potrebné na Integráciu. Prístupové tokeny a poverenia môže kedykoľvek odvolať, čo však môže Integráciu okamžite znefunkčniť.</w:t>
      </w:r>
    </w:p>
    <w:p>
      <w:pPr>
        <w:pStyle w:val="Heading2"/>
      </w:pPr>
      <w:r>
        <w:t>9.2 Podmienky a dostupnosť tretích strán</w:t>
      </w:r>
    </w:p>
    <w:p>
      <w:pPr>
        <w:keepNext w:val="0"/>
        <w:widowControl/>
        <w:jc w:val="both"/>
      </w:pPr>
      <w:r>
        <w:rPr>
          <w:rFonts w:ascii="Calibri" w:hAnsi="Calibri" w:cs="Calibri"/>
          <w:i w:val="0"/>
          <w:color w:val="1A1A2E"/>
          <w:sz w:val="22"/>
        </w:rPr>
        <w:t>Na služby tretích strán sa vzťahujú ich vlastné podmienky a zásady. Poskytovateľ nezodpovedá za ich konanie, výpadky, zmeny API, ceny, bezpečnostné incidenty ani ukončenie služby, pokiaľ škoda nevznikla porušením povinnosti Poskytovateľa pri výbere, konfigurácii alebo používaní takej služby.</w:t>
      </w:r>
    </w:p>
    <w:p>
      <w:pPr>
        <w:keepNext w:val="0"/>
        <w:widowControl/>
        <w:jc w:val="both"/>
      </w:pPr>
      <w:r>
        <w:rPr>
          <w:rFonts w:ascii="Calibri" w:hAnsi="Calibri" w:cs="Calibri"/>
          <w:i w:val="0"/>
          <w:color w:val="1A1A2E"/>
          <w:sz w:val="22"/>
        </w:rPr>
        <w:t>Ak tretia strana zmení alebo ukončí funkciu potrebnú pre Integráciu, Poskytovateľ môže Integráciu upraviť, obmedziť alebo ukončiť. Pri podstatnej platenej Integrácii sa primerane použije článok 3.2.</w:t>
      </w:r>
    </w:p>
    <w:p>
      <w:pPr>
        <w:keepNext w:val="0"/>
        <w:widowControl/>
        <w:jc w:val="both"/>
      </w:pPr>
      <w:r>
        <w:rPr>
          <w:rFonts w:ascii="Calibri" w:hAnsi="Calibri" w:cs="Calibri"/>
          <w:i w:val="0"/>
          <w:color w:val="1A1A2E"/>
          <w:sz w:val="22"/>
        </w:rPr>
        <w:t>Zákazník udržiava podporované verzie prepojených systémov, platné poverenia, potrebné licencie, konektivitu a aktuálnu konfiguráciu. Poskytovateľ nie je povinný podporovať zastaranú, neštandardne upravenú alebo výrobcom nepodporovanú verziu systému.</w:t>
      </w:r>
    </w:p>
    <w:p>
      <w:pPr>
        <w:keepNext w:val="0"/>
        <w:widowControl/>
        <w:jc w:val="both"/>
      </w:pPr>
      <w:r>
        <w:rPr>
          <w:rFonts w:ascii="Calibri" w:hAnsi="Calibri" w:cs="Calibri"/>
          <w:i w:val="0"/>
          <w:color w:val="1A1A2E"/>
          <w:sz w:val="22"/>
        </w:rPr>
        <w:t>Práce vyvolané zmenou systému Zákazníka, tretej strany alebo jej API, ktoré nie sú zahrnuté v Objednávke, môže Poskytovateľ samostatne oceniť. Vykoná ich po odsúhlasení ponuky Zákazníkom.</w:t>
      </w:r>
    </w:p>
    <w:p>
      <w:pPr>
        <w:pStyle w:val="Heading1"/>
        <w:pBdr>
          <w:bottom w:val="single" w:sz="4" w:space="4" w:color="4F46E5"/>
        </w:pBdr>
      </w:pPr>
      <w:r>
        <w:t>10. PRÍPUSTNÉ A ZAKÁZANÉ POUŽÍVANIE</w:t>
      </w:r>
    </w:p>
    <w:p>
      <w:pPr>
        <w:pStyle w:val="Heading2"/>
      </w:pPr>
      <w:r>
        <w:t>10.1 Povolené používanie</w:t>
      </w:r>
    </w:p>
    <w:p>
      <w:pPr>
        <w:keepNext w:val="0"/>
        <w:widowControl/>
        <w:jc w:val="both"/>
      </w:pPr>
      <w:r>
        <w:rPr>
          <w:rFonts w:ascii="Calibri" w:hAnsi="Calibri" w:cs="Calibri"/>
          <w:i w:val="0"/>
          <w:color w:val="1A1A2E"/>
          <w:sz w:val="22"/>
        </w:rPr>
        <w:t>Zákazník môže Službu používať iba zákonným spôsobom, na vlastné interné obchodné účely a v súlade s plánom, Objednávkou, Dokumentáciou a právami tretích strán.</w:t>
      </w:r>
    </w:p>
    <w:p>
      <w:pPr>
        <w:pStyle w:val="Heading2"/>
      </w:pPr>
      <w:r>
        <w:t>10.2 Zakázané konanie</w:t>
      </w:r>
    </w:p>
    <w:p>
      <w:pPr>
        <w:keepNext w:val="0"/>
        <w:widowControl/>
        <w:jc w:val="both"/>
      </w:pPr>
      <w:r>
        <w:rPr>
          <w:rFonts w:ascii="Calibri" w:hAnsi="Calibri" w:cs="Calibri"/>
          <w:i w:val="0"/>
          <w:color w:val="1A1A2E"/>
          <w:sz w:val="22"/>
        </w:rPr>
        <w:t>Zákazník ani Oprávnený používateľ nesmie:</w:t>
      </w:r>
    </w:p>
    <w:p>
      <w:pPr>
        <w:pStyle w:val="ListBullet"/>
        <w:widowControl/>
        <w:jc w:val="both"/>
      </w:pPr>
      <w:r>
        <w:rPr>
          <w:rFonts w:ascii="Calibri" w:hAnsi="Calibri" w:cs="Calibri"/>
          <w:color w:val="1A1A2E"/>
          <w:sz w:val="22"/>
        </w:rPr>
        <w:t>sprístupniť, prenajímať, predávať, sublicencovať alebo poskytovať Službu ako službu tretej strane, ak to Objednávka výslovne nepovoľuje.</w:t>
      </w:r>
    </w:p>
    <w:p>
      <w:pPr>
        <w:pStyle w:val="ListBullet"/>
        <w:widowControl/>
        <w:jc w:val="both"/>
      </w:pPr>
      <w:r>
        <w:rPr>
          <w:rFonts w:ascii="Calibri" w:hAnsi="Calibri" w:cs="Calibri"/>
          <w:color w:val="1A1A2E"/>
          <w:sz w:val="22"/>
        </w:rPr>
        <w:t>kopírovať Službu, vytvárať jej odvodené diela, dekompilovať ju, spätne analyzovať alebo sa pokúšať získať zdrojový kód, okrem rozsahu, ktorý kogentné právo výslovne povoľuje.</w:t>
      </w:r>
    </w:p>
    <w:p>
      <w:pPr>
        <w:pStyle w:val="ListBullet"/>
        <w:widowControl/>
        <w:jc w:val="both"/>
      </w:pPr>
      <w:r>
        <w:rPr>
          <w:rFonts w:ascii="Calibri" w:hAnsi="Calibri" w:cs="Calibri"/>
          <w:color w:val="1A1A2E"/>
          <w:sz w:val="22"/>
        </w:rPr>
        <w:t>obchádzať autentifikáciu, oprávnenia, kvóty, schvaľovanie, ochranné pravidlá, audit, bezpečnostné opatrenia alebo technické obmedzenia.</w:t>
      </w:r>
    </w:p>
    <w:p>
      <w:pPr>
        <w:pStyle w:val="ListBullet"/>
        <w:widowControl/>
        <w:jc w:val="both"/>
      </w:pPr>
      <w:r>
        <w:rPr>
          <w:rFonts w:ascii="Calibri" w:hAnsi="Calibri" w:cs="Calibri"/>
          <w:color w:val="1A1A2E"/>
          <w:sz w:val="22"/>
        </w:rPr>
        <w:t>získavať dáta zo samotnej Platformy automatizovaným spôsobom mimo povoleného API alebo primerane zaťažovať infraštruktúru.</w:t>
      </w:r>
    </w:p>
    <w:p>
      <w:pPr>
        <w:pStyle w:val="ListBullet"/>
        <w:widowControl/>
        <w:jc w:val="both"/>
      </w:pPr>
      <w:r>
        <w:rPr>
          <w:rFonts w:ascii="Calibri" w:hAnsi="Calibri" w:cs="Calibri"/>
          <w:color w:val="1A1A2E"/>
          <w:sz w:val="22"/>
        </w:rPr>
        <w:t>odosielať malvér, škodlivý kód, nevyžiadanú komunikáciu alebo obsah porušujúci práva tretích strán.</w:t>
      </w:r>
    </w:p>
    <w:p>
      <w:pPr>
        <w:pStyle w:val="ListBullet"/>
        <w:widowControl/>
        <w:jc w:val="both"/>
      </w:pPr>
      <w:r>
        <w:rPr>
          <w:rFonts w:ascii="Calibri" w:hAnsi="Calibri" w:cs="Calibri"/>
          <w:color w:val="1A1A2E"/>
          <w:sz w:val="22"/>
        </w:rPr>
        <w:t>vykonávať penetračné testy, skenovanie zraniteľností alebo pokusy o narušenie bez predchádzajúceho písomného súhlasu Poskytovateľa.</w:t>
      </w:r>
    </w:p>
    <w:p>
      <w:pPr>
        <w:pStyle w:val="ListBullet"/>
        <w:widowControl/>
        <w:jc w:val="both"/>
      </w:pPr>
      <w:r>
        <w:rPr>
          <w:rFonts w:ascii="Calibri" w:hAnsi="Calibri" w:cs="Calibri"/>
          <w:color w:val="1A1A2E"/>
          <w:sz w:val="22"/>
        </w:rPr>
        <w:t>používať Službu na vývoj, trénovanie alebo prevádzku produktu, ktorého hlavným účelom je konkurovať Platforme, s využitím neverejných prvkov Služby alebo Dôverných informácií Poskytovateľa.</w:t>
      </w:r>
    </w:p>
    <w:p>
      <w:pPr>
        <w:pStyle w:val="ListBullet"/>
        <w:widowControl/>
        <w:jc w:val="both"/>
      </w:pPr>
      <w:r>
        <w:rPr>
          <w:rFonts w:ascii="Calibri" w:hAnsi="Calibri" w:cs="Calibri"/>
          <w:color w:val="1A1A2E"/>
          <w:sz w:val="22"/>
        </w:rPr>
        <w:t>zhromažďovať alebo spracúvať osobné údaje bez právneho základu, transparentnosti a potrebných oprávnení.</w:t>
      </w:r>
    </w:p>
    <w:p>
      <w:pPr>
        <w:pStyle w:val="ListBullet"/>
        <w:widowControl/>
        <w:jc w:val="both"/>
      </w:pPr>
      <w:r>
        <w:rPr>
          <w:rFonts w:ascii="Calibri" w:hAnsi="Calibri" w:cs="Calibri"/>
          <w:color w:val="1A1A2E"/>
          <w:sz w:val="22"/>
        </w:rPr>
        <w:t>používať Výstupy na podvod, zavádzanie, nezákonnú cenovú manipuláciu, koordináciu s konkurentmi alebo porušenie sankčných a exportných pravidiel.</w:t>
      </w:r>
    </w:p>
    <w:p>
      <w:pPr>
        <w:pStyle w:val="Heading2"/>
      </w:pPr>
      <w:r>
        <w:t>10.3 Reakcia na porušenie</w:t>
      </w:r>
    </w:p>
    <w:p>
      <w:pPr>
        <w:keepNext w:val="0"/>
        <w:widowControl/>
        <w:jc w:val="both"/>
      </w:pPr>
      <w:r>
        <w:rPr>
          <w:rFonts w:ascii="Calibri" w:hAnsi="Calibri" w:cs="Calibri"/>
          <w:i w:val="0"/>
          <w:color w:val="1A1A2E"/>
          <w:sz w:val="22"/>
        </w:rPr>
        <w:t>Poskytovateľ môže primerane preveriť podozrenie na porušenie, vyžiadať nápravu, obmedziť konkrétnu funkciu, zablokovať škodlivý obsah alebo dočasne pozastaviť prístup. Rozsah zásahu obmedzí na to, čo je primerane potrebné na ochranu Služby, Zákazníka, iných používateľov, tretích strán alebo splnenie právnej povinnosti.</w:t>
      </w:r>
    </w:p>
    <w:p>
      <w:pPr>
        <w:pStyle w:val="Heading2"/>
      </w:pPr>
      <w:r>
        <w:t>10.4 Overenie účelu a rizika</w:t>
      </w:r>
    </w:p>
    <w:p>
      <w:pPr>
        <w:keepNext w:val="0"/>
        <w:widowControl/>
        <w:jc w:val="both"/>
      </w:pPr>
      <w:r>
        <w:rPr>
          <w:rFonts w:ascii="Calibri" w:hAnsi="Calibri" w:cs="Calibri"/>
          <w:i w:val="0"/>
          <w:color w:val="1A1A2E"/>
          <w:sz w:val="22"/>
        </w:rPr>
        <w:t>Poskytovateľ môže vyžiadať informácie a dokumenty primerane potrebné na overenie totožnosti a podnikateľskej činnosti Zákazníka, zamýšľaného použitia, práva určiť zdroj a zákonnosti spracúvania. Zákazník poskytne primeranú súčinnosť a udržiava tieto informácie aktuálne.</w:t>
      </w:r>
    </w:p>
    <w:p>
      <w:pPr>
        <w:keepNext w:val="0"/>
        <w:widowControl/>
        <w:jc w:val="both"/>
      </w:pPr>
      <w:r>
        <w:rPr>
          <w:rFonts w:ascii="Calibri" w:hAnsi="Calibri" w:cs="Calibri"/>
          <w:i w:val="0"/>
          <w:color w:val="1A1A2E"/>
          <w:sz w:val="22"/>
        </w:rPr>
        <w:t>Poskytovateľ môže odmietnuť alebo obmedziť konkrétny zdroj, metódu alebo funkciu a môže primerane pozastaviť prístup, ak má odôvodnené podozrenie na nezákonné alebo podvodné použitie, bezpečnostné riziko, porušenie práv tretej strany alebo neprimerané regulačné riziko. Rozsah zásahu obmedzí na nevyhnutné opatrenia a Zákazníka informuje, ak to právo, bezpečnosť a okolnosti umožňujú.</w:t>
      </w:r>
    </w:p>
    <w:p>
      <w:pPr>
        <w:pStyle w:val="Heading1"/>
        <w:pBdr>
          <w:bottom w:val="single" w:sz="4" w:space="4" w:color="4F46E5"/>
        </w:pBdr>
      </w:pPr>
      <w:r>
        <w:t>11. OCHRANA OSOBNÝCH ÚDAJOV A BEZPEČNOSŤ</w:t>
      </w:r>
    </w:p>
    <w:p>
      <w:pPr>
        <w:pStyle w:val="Heading2"/>
      </w:pPr>
      <w:r>
        <w:t>11.1 Úlohy strán</w:t>
      </w:r>
    </w:p>
    <w:p>
      <w:pPr>
        <w:keepNext w:val="0"/>
        <w:widowControl/>
        <w:jc w:val="both"/>
      </w:pPr>
      <w:r>
        <w:rPr>
          <w:rFonts w:ascii="Calibri" w:hAnsi="Calibri" w:cs="Calibri"/>
          <w:i w:val="0"/>
          <w:color w:val="1A1A2E"/>
          <w:sz w:val="22"/>
        </w:rPr>
        <w:t>Poskytovateľ spracúva kontaktné, používateľské, fakturačné a prevádzkové osobné údaje vo vlastnom mene podľa Zásad ochrany osobných údajov. Zásady sú informačným dokumentom a súhlas s nimi sa nevyžaduje, ak právnym základom spracúvania nie je súhlas.</w:t>
      </w:r>
    </w:p>
    <w:p>
      <w:pPr>
        <w:keepNext w:val="0"/>
        <w:widowControl/>
        <w:jc w:val="both"/>
      </w:pPr>
      <w:r>
        <w:rPr>
          <w:rFonts w:ascii="Calibri" w:hAnsi="Calibri" w:cs="Calibri"/>
          <w:i w:val="0"/>
          <w:color w:val="1A1A2E"/>
          <w:sz w:val="22"/>
        </w:rPr>
        <w:t>Ak Poskytovateľ spracúva osobné údaje obsiahnuté v Zákazníckych dátach výlučne podľa pokynov Zákazníka, Zákazník je prevádzkovateľom a Poskytovateľ sprostredkovateľom. Pred začatím takého spracúvania strany uzatvoria DPA v elektronickej alebo inej písomnej forme.</w:t>
      </w:r>
    </w:p>
    <w:p>
      <w:pPr>
        <w:pStyle w:val="Heading2"/>
      </w:pPr>
      <w:r>
        <w:t>11.2 Povinnosti Zákazníka</w:t>
      </w:r>
    </w:p>
    <w:p>
      <w:pPr>
        <w:keepNext w:val="0"/>
        <w:widowControl/>
        <w:jc w:val="both"/>
      </w:pPr>
      <w:r>
        <w:rPr>
          <w:rFonts w:ascii="Calibri" w:hAnsi="Calibri" w:cs="Calibri"/>
          <w:i w:val="0"/>
          <w:color w:val="1A1A2E"/>
          <w:sz w:val="22"/>
        </w:rPr>
        <w:t>Zákazník určuje účel a zákonnosť osobných údajov, ktoré do Služby vloží alebo ktorých zber nariadi. Zabezpečí právny základ, informovanie dotknutých osôb, vybavovanie ich práv, primeranú minimalizáciu a nastavenie lehôt uchovávania.</w:t>
      </w:r>
    </w:p>
    <w:p>
      <w:pPr>
        <w:pStyle w:val="Heading2"/>
      </w:pPr>
      <w:r>
        <w:t>11.3 Bezpečnostné opatrenia</w:t>
      </w:r>
    </w:p>
    <w:p>
      <w:pPr>
        <w:keepNext w:val="0"/>
        <w:widowControl/>
        <w:jc w:val="both"/>
      </w:pPr>
      <w:r>
        <w:rPr>
          <w:rFonts w:ascii="Calibri" w:hAnsi="Calibri" w:cs="Calibri"/>
          <w:i w:val="0"/>
          <w:color w:val="1A1A2E"/>
          <w:sz w:val="22"/>
        </w:rPr>
        <w:t>Poskytovateľ udržiava primerané technické a organizačné opatrenia s ohľadom na povahu Služby, stav techniky, náklady a riziká. Žiadna internetová služba však nie je absolútne bezpečná. Zákazník zodpovedá za bezpečnosť vlastných zariadení, sietí, účtov, Integrácií, exportov a za správne nastavenie rolí a schvaľovania.</w:t>
      </w:r>
    </w:p>
    <w:p>
      <w:pPr>
        <w:keepNext w:val="0"/>
        <w:widowControl/>
        <w:jc w:val="both"/>
      </w:pPr>
      <w:r>
        <w:rPr>
          <w:rFonts w:ascii="Calibri" w:hAnsi="Calibri" w:cs="Calibri"/>
          <w:i w:val="0"/>
          <w:color w:val="1A1A2E"/>
          <w:sz w:val="22"/>
        </w:rPr>
        <w:t>Bezpečnostný incident týkajúci sa Zákazníckych dát Poskytovateľ oznámi a bude riešiť v rozsahu a lehotách stanovených právom a DPA.</w:t>
      </w:r>
    </w:p>
    <w:p>
      <w:pPr>
        <w:pStyle w:val="Heading2"/>
      </w:pPr>
      <w:r>
        <w:t>11.4 Subdodávatelia a prenosy</w:t>
      </w:r>
    </w:p>
    <w:p>
      <w:pPr>
        <w:keepNext w:val="0"/>
        <w:widowControl/>
        <w:jc w:val="both"/>
      </w:pPr>
      <w:r>
        <w:rPr>
          <w:rFonts w:ascii="Calibri" w:hAnsi="Calibri" w:cs="Calibri"/>
          <w:i w:val="0"/>
          <w:color w:val="1A1A2E"/>
          <w:sz w:val="22"/>
        </w:rPr>
        <w:t>Poskytovateľ môže používať subdodávateľov a ďalších sprostredkovateľov. Ich zapojenie, zmeny, medzinárodné prenosy a záruky ochrany osobných údajov sa riadia DPA a Zásadami ochrany osobných údajov.</w:t>
      </w:r>
    </w:p>
    <w:p>
      <w:pPr>
        <w:pStyle w:val="Heading1"/>
        <w:pBdr>
          <w:bottom w:val="single" w:sz="4" w:space="4" w:color="4F46E5"/>
        </w:pBdr>
      </w:pPr>
      <w:r>
        <w:t>12. DUŠEVNÉ VLASTNÍCTVO</w:t>
      </w:r>
    </w:p>
    <w:p>
      <w:pPr>
        <w:pStyle w:val="Heading2"/>
      </w:pPr>
      <w:r>
        <w:t>12.1 Práva Poskytovateľa</w:t>
      </w:r>
    </w:p>
    <w:p>
      <w:pPr>
        <w:keepNext w:val="0"/>
        <w:widowControl/>
        <w:jc w:val="both"/>
      </w:pPr>
      <w:r>
        <w:rPr>
          <w:rFonts w:ascii="Calibri" w:hAnsi="Calibri" w:cs="Calibri"/>
          <w:i w:val="0"/>
          <w:color w:val="1A1A2E"/>
          <w:sz w:val="22"/>
        </w:rPr>
        <w:t>Platforma, softvér, rozhranie, algoritmy, pracovné postupy, schémy, Dokumentácia, dizajn, ochranné známky a všetky súvisiace práva patria Poskytovateľovi alebo jeho licenčným partnerom. Zmluva neprevádza vlastníctvo Služby ani jej časti na Zákazníka.</w:t>
      </w:r>
    </w:p>
    <w:p>
      <w:pPr>
        <w:pStyle w:val="Heading2"/>
      </w:pPr>
      <w:r>
        <w:t>12.2 Práva Zákazníka a tretích strán</w:t>
      </w:r>
    </w:p>
    <w:p>
      <w:pPr>
        <w:keepNext w:val="0"/>
        <w:widowControl/>
        <w:jc w:val="both"/>
      </w:pPr>
      <w:r>
        <w:rPr>
          <w:rFonts w:ascii="Calibri" w:hAnsi="Calibri" w:cs="Calibri"/>
          <w:i w:val="0"/>
          <w:color w:val="1A1A2E"/>
          <w:sz w:val="22"/>
        </w:rPr>
        <w:t>Zákazník si zachováva práva k Zákazníckym dátam. Práva k Zdrojovým dátam zostávajú ich pôvodným nositeľom. V rozsahu, v akom Výstup obsahuje prvky Platformy, udeľuje Poskytovateľ Zákazníkovi počas Zmluvy a po nej nevýhradné právo používať taký Výstup na účely dovolené článkom 7.5.</w:t>
      </w:r>
    </w:p>
    <w:p>
      <w:pPr>
        <w:pStyle w:val="Heading2"/>
      </w:pPr>
      <w:r>
        <w:t>12.3 Spätná väzba</w:t>
      </w:r>
    </w:p>
    <w:p>
      <w:pPr>
        <w:keepNext w:val="0"/>
        <w:widowControl/>
        <w:jc w:val="both"/>
      </w:pPr>
      <w:r>
        <w:rPr>
          <w:rFonts w:ascii="Calibri" w:hAnsi="Calibri" w:cs="Calibri"/>
          <w:i w:val="0"/>
          <w:color w:val="1A1A2E"/>
          <w:sz w:val="22"/>
        </w:rPr>
        <w:t>Ak Zákazník dobrovoľne poskytne návrh, spätnú väzbu alebo podnet, Poskytovateľ ho môže bezodplatne použiť na rozvoj Služby, nesmie však zverejniť Dôverné informácie alebo identifikovať Zákazníka bez súhlasu.</w:t>
      </w:r>
    </w:p>
    <w:p>
      <w:pPr>
        <w:pStyle w:val="Heading2"/>
      </w:pPr>
      <w:r>
        <w:t>12.4 Agregované a anonymizované údaje</w:t>
      </w:r>
    </w:p>
    <w:p>
      <w:pPr>
        <w:keepNext w:val="0"/>
        <w:widowControl/>
        <w:jc w:val="both"/>
      </w:pPr>
      <w:r>
        <w:rPr>
          <w:rFonts w:ascii="Calibri" w:hAnsi="Calibri" w:cs="Calibri"/>
          <w:i w:val="0"/>
          <w:color w:val="1A1A2E"/>
          <w:sz w:val="22"/>
        </w:rPr>
        <w:t>Poskytovateľ môže vytvárať a používať štatistické, agregované a anonymizované údaje na prevádzku, bezpečnosť, meranie výkonu a zlepšovanie Služby, iba ak primeranými prostriedkami neumožňujú identifikovať Zákazníka, Oprávneného používateľa ani inú fyzickú osobu a neodhaľujú Dôverné informácie Zákazníka.</w:t>
      </w:r>
    </w:p>
    <w:p>
      <w:pPr>
        <w:pStyle w:val="Heading2"/>
      </w:pPr>
      <w:r>
        <w:t>12.5 Verejné Zdrojové dáta</w:t>
      </w:r>
    </w:p>
    <w:p>
      <w:pPr>
        <w:keepNext w:val="0"/>
        <w:widowControl/>
        <w:jc w:val="both"/>
      </w:pPr>
      <w:r>
        <w:rPr>
          <w:rFonts w:ascii="Calibri" w:hAnsi="Calibri" w:cs="Calibri"/>
          <w:i w:val="0"/>
          <w:color w:val="1A1A2E"/>
          <w:sz w:val="22"/>
        </w:rPr>
        <w:t>Poskytovateľ nesmie používať Zákaznícke dáta na vlastné obchodné účely, ktoré nesúvisia s poskytovaním, bezpečnosťou alebo zlepšovaním Služby v dovolenom rozsahu. Toto obmedzenie nebráni Poskytovateľovi nezávisle zbierať, uchovávať, normalizovať a opakovane používať verejne dostupné Zdrojové dáta ani používať údaje podľa článku 12.4, ak tým neidentifikuje Zákazníka, neodhaľuje jeho stratégiu a neporuší jeho Dôverné informácie.</w:t>
      </w:r>
    </w:p>
    <w:p>
      <w:pPr>
        <w:pStyle w:val="Heading2"/>
      </w:pPr>
      <w:r>
        <w:t>12.6 Meno a logo Zákazníka</w:t>
      </w:r>
    </w:p>
    <w:p>
      <w:pPr>
        <w:keepNext w:val="0"/>
        <w:widowControl/>
        <w:jc w:val="both"/>
      </w:pPr>
      <w:r>
        <w:rPr>
          <w:rFonts w:ascii="Calibri" w:hAnsi="Calibri" w:cs="Calibri"/>
          <w:i w:val="0"/>
          <w:color w:val="1A1A2E"/>
          <w:sz w:val="22"/>
        </w:rPr>
        <w:t>Zákazník udeľuje Poskytovateľovi počas trvania Zmluvy nevýhradné, bezodplatné a odvolateľné oprávnenie uviesť jeho obchodné meno a logo na webovom sídle Poskytovateľa, v zozname zákazníkov, obchodných prezentáciách a primeraných marketingových materiáloch ako informáciu, že je zákazníkom Služby. Poskytovateľ nesmie týmto použitím vytvárať dojem odporúčania, partnerstva alebo schválenia nad rámec zákazníckeho vzťahu a použije aktuálnu podobu označenia primeraným spôsobom.</w:t>
      </w:r>
    </w:p>
    <w:p>
      <w:pPr>
        <w:keepNext w:val="0"/>
        <w:widowControl/>
        <w:jc w:val="both"/>
      </w:pPr>
      <w:r>
        <w:rPr>
          <w:rFonts w:ascii="Calibri" w:hAnsi="Calibri" w:cs="Calibri"/>
          <w:i w:val="0"/>
          <w:color w:val="1A1A2E"/>
          <w:sz w:val="22"/>
        </w:rPr>
        <w:t>Zákazník môže proti takému použitiu kedykoľvek písomne namietať alebo oprávnenie odvolať. Poskytovateľ odstráni meno a logo z nových a elektronických materiálov v primeranej lehote, najneskôr do 30 dní. Odvolanie sa nevzťahuje na materiály, ktoré už boli vytlačené alebo záväzne objednané.</w:t>
      </w:r>
    </w:p>
    <w:p>
      <w:pPr>
        <w:keepNext w:val="0"/>
        <w:widowControl/>
        <w:jc w:val="both"/>
      </w:pPr>
      <w:r>
        <w:rPr>
          <w:rFonts w:ascii="Calibri" w:hAnsi="Calibri" w:cs="Calibri"/>
          <w:i w:val="0"/>
          <w:color w:val="1A1A2E"/>
          <w:sz w:val="22"/>
        </w:rPr>
        <w:t>Prípadová štúdia, citácia, referencia s konkrétnymi výsledkami alebo metrikami a podrobný opis používania Služby vyžadujú predchádzajúci písomný súhlas Zákazníka.</w:t>
      </w:r>
    </w:p>
    <w:p>
      <w:pPr>
        <w:pStyle w:val="Heading1"/>
        <w:pBdr>
          <w:bottom w:val="single" w:sz="4" w:space="4" w:color="4F46E5"/>
        </w:pBdr>
      </w:pPr>
      <w:r>
        <w:t>13. DÔVERNOSŤ</w:t>
      </w:r>
    </w:p>
    <w:p>
      <w:pPr>
        <w:pStyle w:val="Heading2"/>
      </w:pPr>
      <w:r>
        <w:t>13.1 Dôverné informácie</w:t>
      </w:r>
    </w:p>
    <w:p>
      <w:pPr>
        <w:keepNext w:val="0"/>
        <w:widowControl/>
        <w:jc w:val="both"/>
      </w:pPr>
      <w:r>
        <w:rPr>
          <w:rFonts w:ascii="Calibri" w:hAnsi="Calibri" w:cs="Calibri"/>
          <w:i w:val="0"/>
          <w:color w:val="1A1A2E"/>
          <w:sz w:val="22"/>
        </w:rPr>
        <w:t>Dôvernými informáciami sú neverejné obchodné, technické, bezpečnostné, cenové, produktové a iné informácie jednej strany, ktoré sú označené ako dôverné alebo ktorých dôverný charakter je vzhľadom na okolnosti zrejmý. Zákaznícke dáta a neverejné prvky Služby sú Dôvernými informáciami príslušnej strany.</w:t>
      </w:r>
    </w:p>
    <w:p>
      <w:pPr>
        <w:pStyle w:val="Heading2"/>
      </w:pPr>
      <w:r>
        <w:t>13.2 Povinnosti príjemcu</w:t>
      </w:r>
    </w:p>
    <w:p>
      <w:pPr>
        <w:keepNext w:val="0"/>
        <w:widowControl/>
        <w:jc w:val="both"/>
      </w:pPr>
      <w:r>
        <w:rPr>
          <w:rFonts w:ascii="Calibri" w:hAnsi="Calibri" w:cs="Calibri"/>
          <w:i w:val="0"/>
          <w:color w:val="1A1A2E"/>
          <w:sz w:val="22"/>
        </w:rPr>
        <w:t>Príjemca použije Dôverné informácie iba na plnenie Zmluvy, chráni ich najmenej rovnako ako vlastné informácie obdobnej povahy a sprístupní ich len osobám, ktoré ich potrebujú poznať a sú viazané dôvernosťou. Bez súhlasu ich nesprístupní inej osobe.</w:t>
      </w:r>
    </w:p>
    <w:p>
      <w:pPr>
        <w:pStyle w:val="Heading2"/>
      </w:pPr>
      <w:r>
        <w:t>13.3 Výnimky a povinné zverejnenie</w:t>
      </w:r>
    </w:p>
    <w:p>
      <w:pPr>
        <w:keepNext w:val="0"/>
        <w:widowControl/>
        <w:jc w:val="both"/>
      </w:pPr>
      <w:r>
        <w:rPr>
          <w:rFonts w:ascii="Calibri" w:hAnsi="Calibri" w:cs="Calibri"/>
          <w:i w:val="0"/>
          <w:color w:val="1A1A2E"/>
          <w:sz w:val="22"/>
        </w:rPr>
        <w:t>Povinnosť sa nevzťahuje na informácie, ktoré príjemca preukázateľne poznal bez obmedzenia, nezávisle vytvoril, oprávnene získal od tretej strany alebo sa stali verejnými bez jeho porušenia. Ak zverejnenie vyžaduje zákon alebo orgán verejnej moci, príjemca v dovolenom rozsahu vopred informuje druhú stranu a zverejní len nevyhnutný rozsah.</w:t>
      </w:r>
    </w:p>
    <w:p>
      <w:pPr>
        <w:pStyle w:val="Heading2"/>
      </w:pPr>
      <w:r>
        <w:t>13.4 Trvanie</w:t>
      </w:r>
    </w:p>
    <w:p>
      <w:pPr>
        <w:keepNext w:val="0"/>
        <w:widowControl/>
        <w:jc w:val="both"/>
      </w:pPr>
      <w:r>
        <w:rPr>
          <w:rFonts w:ascii="Calibri" w:hAnsi="Calibri" w:cs="Calibri"/>
          <w:i w:val="0"/>
          <w:color w:val="1A1A2E"/>
          <w:sz w:val="22"/>
        </w:rPr>
        <w:t>Povinnosť dôvernosti trvá počas Zmluvy a päť rokov po jej skončení. Pri obchodnom tajomstve a osobných údajoch trvá dovtedy, kým ich povaha alebo právo vyžadujú ochranu.</w:t>
      </w:r>
    </w:p>
    <w:p>
      <w:pPr>
        <w:pStyle w:val="Heading1"/>
        <w:pBdr>
          <w:bottom w:val="single" w:sz="4" w:space="4" w:color="4F46E5"/>
        </w:pBdr>
      </w:pPr>
      <w:r>
        <w:t>14. DOSTUPNOSŤ, ÚDRŽBA A PODPORA</w:t>
      </w:r>
    </w:p>
    <w:p>
      <w:pPr>
        <w:pStyle w:val="Heading2"/>
      </w:pPr>
      <w:r>
        <w:t>14.1 Dostupnosť</w:t>
      </w:r>
    </w:p>
    <w:p>
      <w:pPr>
        <w:keepNext w:val="0"/>
        <w:widowControl/>
        <w:jc w:val="both"/>
      </w:pPr>
      <w:r>
        <w:rPr>
          <w:rFonts w:ascii="Calibri" w:hAnsi="Calibri" w:cs="Calibri"/>
          <w:i w:val="0"/>
          <w:color w:val="1A1A2E"/>
          <w:sz w:val="22"/>
        </w:rPr>
        <w:t>Poskytovateľ vynakladá primerané obchodné a technické úsilie na dostupnosť Služby. Ak Objednávka alebo samostatné SLA výslovne neurčuje úroveň dostupnosti, kredit alebo konkrétnu nápravu, neposkytuje sa záruka percentuálnej dostupnosti.</w:t>
      </w:r>
    </w:p>
    <w:p>
      <w:pPr>
        <w:keepNext w:val="0"/>
        <w:widowControl/>
        <w:jc w:val="both"/>
      </w:pPr>
      <w:r>
        <w:rPr>
          <w:rFonts w:ascii="Calibri" w:hAnsi="Calibri" w:cs="Calibri"/>
          <w:i w:val="0"/>
          <w:color w:val="1A1A2E"/>
          <w:sz w:val="22"/>
        </w:rPr>
        <w:t>Dostupnosť nezahŕňa plánovanú údržbu, núdzové bezpečnostné zásahy, vyššiu moc, výpadky Zákazníka alebo tretích strán, blokovanie či zmenu zdrojov, nesprávnu konfiguráciu a pozastavenie podľa Zmluvy.</w:t>
      </w:r>
    </w:p>
    <w:p>
      <w:pPr>
        <w:pStyle w:val="Heading2"/>
      </w:pPr>
      <w:r>
        <w:t>14.2 Údržba</w:t>
      </w:r>
    </w:p>
    <w:p>
      <w:pPr>
        <w:keepNext w:val="0"/>
        <w:widowControl/>
        <w:jc w:val="both"/>
      </w:pPr>
      <w:r>
        <w:rPr>
          <w:rFonts w:ascii="Calibri" w:hAnsi="Calibri" w:cs="Calibri"/>
          <w:i w:val="0"/>
          <w:color w:val="1A1A2E"/>
          <w:sz w:val="22"/>
        </w:rPr>
        <w:t>Poskytovateľ môže vykonávať plánovanú a núdzovú údržbu. O plánovanej údržbe s významným dopadom informuje v primeranom predstihu, ak je to prakticky možné. Núdzová údržba môže začať bez predchádzajúceho oznámenia.</w:t>
      </w:r>
    </w:p>
    <w:p>
      <w:pPr>
        <w:pStyle w:val="Heading2"/>
      </w:pPr>
      <w:r>
        <w:t>14.3 Podpora</w:t>
      </w:r>
    </w:p>
    <w:p>
      <w:pPr>
        <w:keepNext w:val="0"/>
        <w:widowControl/>
        <w:jc w:val="both"/>
      </w:pPr>
      <w:r>
        <w:rPr>
          <w:rFonts w:ascii="Calibri" w:hAnsi="Calibri" w:cs="Calibri"/>
          <w:i w:val="0"/>
          <w:color w:val="1A1A2E"/>
          <w:sz w:val="22"/>
        </w:rPr>
        <w:t>Rozsah, kanál, čas a cieľové reakčné lehoty podpory určuje plán, Objednávka alebo SLA. Zákazník pri hlásení poskytne primerané diagnostické informácie a nebude posielať heslá, úplné platobné údaje ani nadbytočné osobné údaje.</w:t>
      </w:r>
    </w:p>
    <w:p>
      <w:pPr>
        <w:pStyle w:val="Heading2"/>
      </w:pPr>
      <w:r>
        <w:t>14.4 Vlastné zálohy Zákazníka</w:t>
      </w:r>
    </w:p>
    <w:p>
      <w:pPr>
        <w:keepNext w:val="0"/>
        <w:widowControl/>
        <w:jc w:val="both"/>
      </w:pPr>
      <w:r>
        <w:rPr>
          <w:rFonts w:ascii="Calibri" w:hAnsi="Calibri" w:cs="Calibri"/>
          <w:i w:val="0"/>
          <w:color w:val="1A1A2E"/>
          <w:sz w:val="22"/>
        </w:rPr>
        <w:t>Služba nie je archívnym alebo zálohovacím systémom, ak to Objednávka výslovne neurčuje. Zákazník má pravidelne exportovať údaje, konfigurácie a rozhodnutia, ktoré potrebuje uchovať mimo Služby alebo podľa zákona.</w:t>
      </w:r>
    </w:p>
    <w:p>
      <w:pPr>
        <w:pStyle w:val="Heading1"/>
        <w:pBdr>
          <w:bottom w:val="single" w:sz="4" w:space="4" w:color="4F46E5"/>
        </w:pBdr>
      </w:pPr>
      <w:r>
        <w:t>15. VYHLÁSENIA A ZÁRUKY</w:t>
      </w:r>
    </w:p>
    <w:p>
      <w:pPr>
        <w:pStyle w:val="Heading2"/>
      </w:pPr>
      <w:r>
        <w:t>15.1 Vzájomné vyhlásenia</w:t>
      </w:r>
    </w:p>
    <w:p>
      <w:pPr>
        <w:keepNext w:val="0"/>
        <w:widowControl/>
        <w:jc w:val="both"/>
      </w:pPr>
      <w:r>
        <w:rPr>
          <w:rFonts w:ascii="Calibri" w:hAnsi="Calibri" w:cs="Calibri"/>
          <w:i w:val="0"/>
          <w:color w:val="1A1A2E"/>
          <w:sz w:val="22"/>
        </w:rPr>
        <w:t>Každá strana vyhlasuje, že je oprávnená uzatvoriť Zmluvu a plniť svoje povinnosti. Poskytovateľ bude Službu poskytovať s odbornou starostlivosťou primeranou povahe B2B SaaS služby a v podstatnom súlade s Dokumentáciou.</w:t>
      </w:r>
    </w:p>
    <w:p>
      <w:pPr>
        <w:pStyle w:val="Heading2"/>
      </w:pPr>
      <w:r>
        <w:t>15.2 Náprava vady</w:t>
      </w:r>
    </w:p>
    <w:p>
      <w:pPr>
        <w:keepNext w:val="0"/>
        <w:widowControl/>
        <w:jc w:val="both"/>
      </w:pPr>
      <w:r>
        <w:rPr>
          <w:rFonts w:ascii="Calibri" w:hAnsi="Calibri" w:cs="Calibri"/>
          <w:i w:val="0"/>
          <w:color w:val="1A1A2E"/>
          <w:sz w:val="22"/>
        </w:rPr>
        <w:t>Ak platená Služba podstatne nezodpovedá Dokumentácii a Zákazník vadu dostatočne opíše, Poskytovateľ sa ju primerane pokúsi opraviť alebo poskytnúť obchádzku. Ak to v primeranej lehote nie je možné a vada podstatne bráni používaniu, Zákazník môže dotknutú časť Zmluvy ukončiť a získať pomernú časť vopred zaplatených poplatkov za nevyužité obdobie.</w:t>
      </w:r>
    </w:p>
    <w:p>
      <w:pPr>
        <w:pStyle w:val="Heading2"/>
      </w:pPr>
      <w:r>
        <w:t>15.3 Vylúčenia</w:t>
      </w:r>
    </w:p>
    <w:p>
      <w:pPr>
        <w:keepNext w:val="0"/>
        <w:widowControl/>
        <w:jc w:val="both"/>
      </w:pPr>
      <w:r>
        <w:rPr>
          <w:rFonts w:ascii="Calibri" w:hAnsi="Calibri" w:cs="Calibri"/>
          <w:i w:val="0"/>
          <w:color w:val="1A1A2E"/>
          <w:sz w:val="22"/>
        </w:rPr>
        <w:t>Náprava sa nevzťahuje na vady spôsobené používaním v rozpore so Zmluvou, nepodporovaným prostredím, zásahom Zákazníka alebo tretej strany, neautorizovanou Integráciou, zmenou zdroja alebo okolnosťou mimo primeranej kontroly Poskytovateľa. Bezplatné, skúšobné a beta funkcie sa poskytujú v stave, v akom sú dostupné.</w:t>
      </w:r>
    </w:p>
    <w:p>
      <w:pPr>
        <w:keepNext w:val="0"/>
        <w:widowControl/>
        <w:jc w:val="both"/>
      </w:pPr>
      <w:r>
        <w:rPr>
          <w:rFonts w:ascii="Calibri" w:hAnsi="Calibri" w:cs="Calibri"/>
          <w:i w:val="0"/>
          <w:color w:val="1A1A2E"/>
          <w:sz w:val="22"/>
        </w:rPr>
        <w:t>Poskytovateľ nezaručuje konkrétny hospodársky výsledok, zvýšenie zisku, správnosť obchodnej stratégie, nepretržitú dostupnosť každého zdroja, odstránenie všetkých chýb ani to, že Výstupy budú vhodné bez kontroly Zákazníka.</w:t>
      </w:r>
    </w:p>
    <w:p>
      <w:pPr>
        <w:pStyle w:val="Heading1"/>
        <w:pBdr>
          <w:bottom w:val="single" w:sz="4" w:space="4" w:color="4F46E5"/>
        </w:pBdr>
      </w:pPr>
      <w:r>
        <w:t>16. ZODPOVEDNOSŤ ZA ŠKODU</w:t>
      </w:r>
    </w:p>
    <w:p>
      <w:pPr>
        <w:pStyle w:val="Heading2"/>
      </w:pPr>
      <w:r>
        <w:t>16.1 Rozsah zodpovednosti</w:t>
      </w:r>
    </w:p>
    <w:p>
      <w:pPr>
        <w:keepNext w:val="0"/>
        <w:widowControl/>
        <w:jc w:val="both"/>
      </w:pPr>
      <w:r>
        <w:rPr>
          <w:rFonts w:ascii="Calibri" w:hAnsi="Calibri" w:cs="Calibri"/>
          <w:i w:val="0"/>
          <w:color w:val="1A1A2E"/>
          <w:sz w:val="22"/>
        </w:rPr>
        <w:t>Každá strana zodpovedá za škodu spôsobenú porušením svojej povinnosti podľa platného práva. Pri posudzovaní príčinnej súvislosti, predvídateľnosti a rozsahu škody sa zohľadní povaha Služby ako podporného nástroja, povinnosť Zákazníka overovať Výstupy, nastavenia automatizácie a povinnosť poškodeného škode predchádzať a zmierniť ju.</w:t>
      </w:r>
    </w:p>
    <w:p>
      <w:pPr>
        <w:pStyle w:val="Heading2"/>
      </w:pPr>
      <w:r>
        <w:t>16.2 Limit</w:t>
      </w:r>
    </w:p>
    <w:p>
      <w:pPr>
        <w:keepNext w:val="0"/>
        <w:widowControl/>
        <w:jc w:val="both"/>
      </w:pPr>
      <w:r>
        <w:rPr>
          <w:rFonts w:ascii="Calibri" w:hAnsi="Calibri" w:cs="Calibri"/>
          <w:i w:val="0"/>
          <w:color w:val="1A1A2E"/>
          <w:sz w:val="22"/>
        </w:rPr>
        <w:t>V rozsahu dovolenom kogentným právom celková súhrnná zodpovednosť Poskytovateľa zo Zmluvy alebo v súvislosti s ňou nepresiahne poplatky bez DPH, ktoré Zákazník zaplatil alebo mal zaplatiť za Službu počas 12 mesiacov bezprostredne pred udalosťou, z ktorej nárok vznikol. Pri Predplatnom kratšom ako 12 mesiacov sa použijú poplatky za skutočné obdobie.</w:t>
      </w:r>
    </w:p>
    <w:p>
      <w:pPr>
        <w:pStyle w:val="Heading2"/>
      </w:pPr>
      <w:r>
        <w:t>16.3 Nepriame a obchodné následky</w:t>
      </w:r>
    </w:p>
    <w:p>
      <w:pPr>
        <w:keepNext w:val="0"/>
        <w:widowControl/>
        <w:jc w:val="both"/>
      </w:pPr>
      <w:r>
        <w:rPr>
          <w:rFonts w:ascii="Calibri" w:hAnsi="Calibri" w:cs="Calibri"/>
          <w:i w:val="0"/>
          <w:color w:val="1A1A2E"/>
          <w:sz w:val="22"/>
        </w:rPr>
        <w:t>V rozsahu dovolenom kogentným právom Poskytovateľ nezodpovedá za nepriame alebo následné škody, ušlý zisk, stratu obchodnej príležitosti, reputácie alebo očakávaných úspor, ak neboli pri uzatvorení Zmluvy primerane predvídateľným následkom konkrétneho porušenia.</w:t>
      </w:r>
    </w:p>
    <w:p>
      <w:pPr>
        <w:pStyle w:val="Heading2"/>
      </w:pPr>
      <w:r>
        <w:t>16.4 Osobitné zdroje rizika</w:t>
      </w:r>
    </w:p>
    <w:p>
      <w:pPr>
        <w:keepNext w:val="0"/>
        <w:widowControl/>
        <w:jc w:val="both"/>
      </w:pPr>
      <w:r>
        <w:rPr>
          <w:rFonts w:ascii="Calibri" w:hAnsi="Calibri" w:cs="Calibri"/>
          <w:i w:val="0"/>
          <w:color w:val="1A1A2E"/>
          <w:sz w:val="22"/>
        </w:rPr>
        <w:t>Poskytovateľ nezodpovedá za škodu v rozsahu, v akom vznikla z nepresných alebo zmenených Zdrojových dát, rozhodnutia Zákazníka, konfigurácie jeho pravidiel, nedostatočného schválenia, neoprávnenej Integrácie, konania tretej strany alebo porušenia Zmluvy Zákazníkom. Toto ustanovenie nevylučuje zodpovednosť Poskytovateľa za jeho vlastné porušenie povinnosti.</w:t>
      </w:r>
    </w:p>
    <w:p>
      <w:pPr>
        <w:pStyle w:val="Heading2"/>
      </w:pPr>
      <w:r>
        <w:t>16.5 Výnimky</w:t>
      </w:r>
    </w:p>
    <w:p>
      <w:pPr>
        <w:keepNext w:val="0"/>
        <w:widowControl/>
        <w:jc w:val="both"/>
      </w:pPr>
      <w:r>
        <w:rPr>
          <w:rFonts w:ascii="Calibri" w:hAnsi="Calibri" w:cs="Calibri"/>
          <w:i w:val="0"/>
          <w:color w:val="1A1A2E"/>
          <w:sz w:val="22"/>
        </w:rPr>
        <w:t>Limity sa neuplatnia na úmyselné konanie, hrubú nedbanlivosť, ujmu na zdraví alebo inú zodpovednosť, ktorú nemožno platne obmedziť. Obmedzenie sa vykladá ako dohodnutie dovoleného rozsahu a spôsobu určenia náhrady, nie ako vzdanie sa nároku pred porušením povinnosti v rozpore s § 386 Obchodného zákonníka.</w:t>
      </w:r>
    </w:p>
    <w:p>
      <w:pPr>
        <w:pStyle w:val="Heading1"/>
        <w:pBdr>
          <w:bottom w:val="single" w:sz="4" w:space="4" w:color="4F46E5"/>
        </w:pBdr>
      </w:pPr>
      <w:r>
        <w:t>17. NÁROKY TRETÍCH STRÁN</w:t>
      </w:r>
    </w:p>
    <w:p>
      <w:pPr>
        <w:pStyle w:val="Heading2"/>
      </w:pPr>
      <w:r>
        <w:t>17.1 Nároky súvisiace so Zákazníkom</w:t>
      </w:r>
    </w:p>
    <w:p>
      <w:pPr>
        <w:keepNext w:val="0"/>
        <w:widowControl/>
        <w:jc w:val="both"/>
      </w:pPr>
      <w:r>
        <w:rPr>
          <w:rFonts w:ascii="Calibri" w:hAnsi="Calibri" w:cs="Calibri"/>
          <w:i w:val="0"/>
          <w:color w:val="1A1A2E"/>
          <w:sz w:val="22"/>
        </w:rPr>
        <w:t>Zákazník nahradí Poskytovateľovi primerané a preukázané náklady a sumy právoplatne uložené alebo schválené v zmieri v dôsledku nároku tretej strany, ktorý vznikol z nezákonných Zákazníckych dát, neoprávneného pokynu na prístup k zdroju, porušenia práv tretej strany alebo používania Služby v rozpore so Zmluvou, ak Poskytovateľ nárok nespôsobil vlastným porušením.</w:t>
      </w:r>
    </w:p>
    <w:p>
      <w:pPr>
        <w:pStyle w:val="Heading2"/>
      </w:pPr>
      <w:r>
        <w:t>17.2 Nároky na duševné vlastníctvo</w:t>
      </w:r>
    </w:p>
    <w:p>
      <w:pPr>
        <w:keepNext w:val="0"/>
        <w:widowControl/>
        <w:jc w:val="both"/>
      </w:pPr>
      <w:r>
        <w:rPr>
          <w:rFonts w:ascii="Calibri" w:hAnsi="Calibri" w:cs="Calibri"/>
          <w:i w:val="0"/>
          <w:color w:val="1A1A2E"/>
          <w:sz w:val="22"/>
        </w:rPr>
        <w:t>Ak tretia strana tvrdí, že platená Platforma pri použití podľa Zmluvy porušuje jej právo duševného vlastníctva, Poskytovateľ podľa svojej voľby zabezpečí právo ďalšieho používania, upraví alebo nahradí dotknutú časť porovnateľnou funkciou, alebo ju ukončí a vráti pomernú časť vopred zaplatených poplatkov. Toto sa nevzťahuje na Zákaznícke dáta, Zdrojové dáta, pokyny Zákazníka, kombinácie mimo Dokumentácie alebo neautorizované úpravy.</w:t>
      </w:r>
    </w:p>
    <w:p>
      <w:pPr>
        <w:pStyle w:val="Heading2"/>
      </w:pPr>
      <w:r>
        <w:t>17.3 Postup</w:t>
      </w:r>
    </w:p>
    <w:p>
      <w:pPr>
        <w:keepNext w:val="0"/>
        <w:widowControl/>
        <w:jc w:val="both"/>
      </w:pPr>
      <w:r>
        <w:rPr>
          <w:rFonts w:ascii="Calibri" w:hAnsi="Calibri" w:cs="Calibri"/>
          <w:i w:val="0"/>
          <w:color w:val="1A1A2E"/>
          <w:sz w:val="22"/>
        </w:rPr>
        <w:t>Strana žiadajúca ochranu bezodkladne oznámi nárok, poskytne primeranú súčinnosť a bez súhlasu druhej strany neuzavrie zmier, ktorý jej ukladá povinnosť, priznanie alebo obmedzenie. Oneskorenie zbavuje druhej strany povinnosti len v rozsahu, v akom jej preukázateľne znemožnilo obranu.</w:t>
      </w:r>
    </w:p>
    <w:p>
      <w:pPr>
        <w:pStyle w:val="Heading1"/>
        <w:pBdr>
          <w:bottom w:val="single" w:sz="4" w:space="4" w:color="4F46E5"/>
        </w:pBdr>
      </w:pPr>
      <w:r>
        <w:t>18. TRVANIE, POZASTAVENIE A UKONČENIE</w:t>
      </w:r>
    </w:p>
    <w:p>
      <w:pPr>
        <w:pStyle w:val="Heading2"/>
      </w:pPr>
      <w:r>
        <w:t>18.1 Trvanie</w:t>
      </w:r>
    </w:p>
    <w:p>
      <w:pPr>
        <w:keepNext w:val="0"/>
        <w:widowControl/>
        <w:jc w:val="both"/>
      </w:pPr>
      <w:r>
        <w:rPr>
          <w:rFonts w:ascii="Calibri" w:hAnsi="Calibri" w:cs="Calibri"/>
          <w:i w:val="0"/>
          <w:color w:val="1A1A2E"/>
          <w:sz w:val="22"/>
        </w:rPr>
        <w:t>Zmluva trvá od vzniku podľa článku 1.3 počas skúšobného alebo zaplateného obdobia a obnovuje sa podľa článku 5.2, pokiaľ nie je ukončená.</w:t>
      </w:r>
    </w:p>
    <w:p>
      <w:pPr>
        <w:pStyle w:val="Heading2"/>
      </w:pPr>
      <w:r>
        <w:t>18.2 Ukončenie Zákazníkom</w:t>
      </w:r>
    </w:p>
    <w:p>
      <w:pPr>
        <w:keepNext w:val="0"/>
        <w:widowControl/>
        <w:jc w:val="both"/>
      </w:pPr>
      <w:r>
        <w:rPr>
          <w:rFonts w:ascii="Calibri" w:hAnsi="Calibri" w:cs="Calibri"/>
          <w:i w:val="0"/>
          <w:color w:val="1A1A2E"/>
          <w:sz w:val="22"/>
        </w:rPr>
        <w:t>Zákazník môže vypnúť obnovenie Predplatného kedykoľvek spôsobom uvedeným v účte alebo Objednávke. Ak Poskytovateľ podstatne poruší Zmluvu a nenapraví porušenie do 15 dní od dostatočne určitého písomného oznámenia, Zákazník môže dotknutú Zmluvu ukončiť a žiadať pomernú časť vopred zaplatených poplatkov za nevyužité obdobie.</w:t>
      </w:r>
    </w:p>
    <w:p>
      <w:pPr>
        <w:pStyle w:val="Heading2"/>
      </w:pPr>
      <w:r>
        <w:t>18.3 Pozastavenie a ukončenie Poskytovateľom</w:t>
      </w:r>
    </w:p>
    <w:p>
      <w:pPr>
        <w:keepNext w:val="0"/>
        <w:widowControl/>
        <w:jc w:val="both"/>
      </w:pPr>
      <w:r>
        <w:rPr>
          <w:rFonts w:ascii="Calibri" w:hAnsi="Calibri" w:cs="Calibri"/>
          <w:i w:val="0"/>
          <w:color w:val="1A1A2E"/>
          <w:sz w:val="22"/>
        </w:rPr>
        <w:t>Poskytovateľ môže prístup primerane pozastaviť pri omeškaní s platbou, bezpečnostnom riziku, nezákonnom používaní, ohrození tretej strany alebo závažnom porušení. Ak je náprava možná a nejde o naliehavý prípad, poskytne primeranú lehotu na nápravu.</w:t>
      </w:r>
    </w:p>
    <w:p>
      <w:pPr>
        <w:keepNext w:val="0"/>
        <w:widowControl/>
        <w:jc w:val="both"/>
      </w:pPr>
      <w:r>
        <w:rPr>
          <w:rFonts w:ascii="Calibri" w:hAnsi="Calibri" w:cs="Calibri"/>
          <w:i w:val="0"/>
          <w:color w:val="1A1A2E"/>
          <w:sz w:val="22"/>
        </w:rPr>
        <w:t>Ak ktorákoľvek strana podstatne poruší Zmluvu a nenapraví porušenie do 15 dní od písomného oznámenia, druhá strana môže Zmluvu ukončiť. Okamžité ukončenie je možné pri úmyselnom nezákonnom použití, opakovanej kompromitácii, úpadku v rozsahu dovolenom právom alebo porušení, ktoré nemožno napraviť.</w:t>
      </w:r>
    </w:p>
    <w:p>
      <w:pPr>
        <w:keepNext w:val="0"/>
        <w:widowControl/>
        <w:jc w:val="both"/>
      </w:pPr>
      <w:r>
        <w:rPr>
          <w:rFonts w:ascii="Calibri" w:hAnsi="Calibri" w:cs="Calibri"/>
          <w:i w:val="0"/>
          <w:color w:val="1A1A2E"/>
          <w:sz w:val="22"/>
        </w:rPr>
        <w:t>Poskytovateľ môže platenú Zmluvu ukončiť aj bez porušenia Zákazníkom s oznámením najmenej 30 dní vopred. V takom prípade vráti pomernú časť vopred zaplatených poplatkov za nevyužité obdobie.</w:t>
      </w:r>
    </w:p>
    <w:p>
      <w:pPr>
        <w:pStyle w:val="Heading2"/>
      </w:pPr>
      <w:r>
        <w:t>18.4 Účinky ukončenia a export</w:t>
      </w:r>
    </w:p>
    <w:p>
      <w:pPr>
        <w:keepNext w:val="0"/>
        <w:widowControl/>
        <w:jc w:val="both"/>
      </w:pPr>
      <w:r>
        <w:rPr>
          <w:rFonts w:ascii="Calibri" w:hAnsi="Calibri" w:cs="Calibri"/>
          <w:i w:val="0"/>
          <w:color w:val="1A1A2E"/>
          <w:sz w:val="22"/>
        </w:rPr>
        <w:t>Ukončením zaniká právo používať Službu a Zákazník musí prestať používať API, tokeny a Dokumentáciu okrem oprávnene uchovaných kópií. Pred ukončením je Zákazník povinný exportovať údaje, ktoré potrebuje.</w:t>
      </w:r>
    </w:p>
    <w:p>
      <w:pPr>
        <w:keepNext w:val="0"/>
        <w:widowControl/>
        <w:jc w:val="both"/>
      </w:pPr>
      <w:r>
        <w:rPr>
          <w:rFonts w:ascii="Calibri" w:hAnsi="Calibri" w:cs="Calibri"/>
          <w:color w:val="1A1A2E"/>
          <w:sz w:val="22"/>
        </w:rPr>
        <w:t xml:space="preserve">Ak to technické a bezpečnostné podmienky umožňujú, Zákazník môže do </w:t>
      </w:r>
      <w:r>
        <w:rPr>
          <w:rFonts w:ascii="Calibri" w:hAnsi="Calibri" w:cs="Calibri"/>
          <w:b/>
          <w:color w:val="1A1A2E"/>
          <w:sz w:val="22"/>
        </w:rPr>
        <w:t>30 dní</w:t>
      </w:r>
      <w:r>
        <w:rPr>
          <w:rFonts w:ascii="Calibri" w:hAnsi="Calibri" w:cs="Calibri"/>
          <w:color w:val="1A1A2E"/>
          <w:sz w:val="22"/>
        </w:rPr>
        <w:t xml:space="preserve"> po ukončení písomne požiadať o dostupný štandardný export svojich Zákazníckych dát. Po tejto lehote ich Poskytovateľ môže vymazať alebo anonymizovať podľa DPA, interných lehôt, záloh a právnych povinností. Obnovenie zo záloh sa nezaručuje.</w:t>
      </w:r>
    </w:p>
    <w:p>
      <w:pPr>
        <w:pStyle w:val="Heading2"/>
      </w:pPr>
      <w:r>
        <w:t>18.5 Pretrvávajúce ustanovenia</w:t>
      </w:r>
    </w:p>
    <w:p>
      <w:pPr>
        <w:keepNext w:val="0"/>
        <w:widowControl/>
        <w:jc w:val="both"/>
      </w:pPr>
      <w:r>
        <w:rPr>
          <w:rFonts w:ascii="Calibri" w:hAnsi="Calibri" w:cs="Calibri"/>
          <w:i w:val="0"/>
          <w:color w:val="1A1A2E"/>
          <w:sz w:val="22"/>
        </w:rPr>
        <w:t>Po skončení zostávajú účinné ustanovenia, ktoré podľa svojho účelu majú pretrvať, najmä o platbách, dôvernosti, ochrane osobných údajov, duševnom vlastníctve, Výstupoch, zodpovednosti, nárokoch tretích strán a riešení sporov.</w:t>
      </w:r>
    </w:p>
    <w:p>
      <w:pPr>
        <w:pStyle w:val="Heading1"/>
        <w:pBdr>
          <w:bottom w:val="single" w:sz="4" w:space="4" w:color="4F46E5"/>
        </w:pBdr>
      </w:pPr>
      <w:r>
        <w:t>19. ZMENY PODMIENOK</w:t>
      </w:r>
    </w:p>
    <w:p>
      <w:pPr>
        <w:keepNext w:val="0"/>
        <w:widowControl/>
        <w:jc w:val="both"/>
      </w:pPr>
      <w:r>
        <w:rPr>
          <w:rFonts w:ascii="Calibri" w:hAnsi="Calibri" w:cs="Calibri"/>
          <w:i w:val="0"/>
          <w:color w:val="1A1A2E"/>
          <w:sz w:val="22"/>
        </w:rPr>
        <w:t>Poskytovateľ môže Podmienky meniť z dôvodu zmeny Služby, práva, bezpečnosti alebo obchodného modelu. Podstatnú zmenu oznámi najmenej 30 dní pred účinnosťou e-mailom alebo viditeľným oznámením v Službe. Zmena vyžadovaná právom alebo naliehavou bezpečnosťou môže nadobudnúť účinnosť skôr. Poskytovateľ uvedie dôvod, ak mu to právo dovoľuje.</w:t>
      </w:r>
    </w:p>
    <w:p>
      <w:pPr>
        <w:keepNext w:val="0"/>
        <w:widowControl/>
        <w:jc w:val="both"/>
      </w:pPr>
      <w:r>
        <w:rPr>
          <w:rFonts w:ascii="Calibri" w:hAnsi="Calibri" w:cs="Calibri"/>
          <w:i w:val="0"/>
          <w:color w:val="1A1A2E"/>
          <w:sz w:val="22"/>
        </w:rPr>
        <w:t>Ak podstatná zmena zhoršuje postavenie Zákazníka počas zaplateného obdobia a Zákazník s ňou nesúhlasí, môže Zmluvu ukončiť k účinnosti zmeny a žiadať pomernú časť vopred zaplatených poplatkov za nevyužité obdobie. Inak pokračovanie v používaní po účinnosti znamená prijatie aktualizovaných Podmienok.</w:t>
      </w:r>
    </w:p>
    <w:p>
      <w:pPr>
        <w:pStyle w:val="Heading1"/>
        <w:pBdr>
          <w:bottom w:val="single" w:sz="4" w:space="4" w:color="4F46E5"/>
        </w:pBdr>
      </w:pPr>
      <w:r>
        <w:t>20. OZNÁMENIA A ELEKTRONICKÁ KOMUNIKÁCIA</w:t>
      </w:r>
    </w:p>
    <w:p>
      <w:pPr>
        <w:keepNext w:val="0"/>
        <w:widowControl/>
        <w:jc w:val="both"/>
      </w:pPr>
      <w:r>
        <w:rPr>
          <w:rFonts w:ascii="Calibri" w:hAnsi="Calibri" w:cs="Calibri"/>
          <w:i w:val="0"/>
          <w:color w:val="1A1A2E"/>
          <w:sz w:val="22"/>
        </w:rPr>
        <w:t>Zmluvné oznámenia možno doručiť na kontaktný e-mail účtu, cez Službu alebo spôsobom uvedeným v Objednávke. Zákazník udržiava kontakty aktuálne. Prevádzkové správy, bezpečnostné upozornenia a faktúry možno doručovať elektronicky.</w:t>
      </w:r>
    </w:p>
    <w:p>
      <w:pPr>
        <w:keepNext w:val="0"/>
        <w:widowControl/>
        <w:jc w:val="both"/>
      </w:pPr>
      <w:r>
        <w:rPr>
          <w:rFonts w:ascii="Calibri" w:hAnsi="Calibri" w:cs="Calibri"/>
          <w:i w:val="0"/>
          <w:color w:val="1A1A2E"/>
          <w:sz w:val="22"/>
        </w:rPr>
        <w:t>Oznámenie o podstatnom porušení, ukončení alebo právnom nároku sa zasiela aj na právny kontakt druhej strany, ak je známy. Oznámenie sa považuje za doručené pri preukázateľnom odoslaní bez chybovej správy, najneskôr nasledujúci pracovný deň. Tým nie sú dotknuté kogentné pravidlá doručovania.</w:t>
      </w:r>
    </w:p>
    <w:p>
      <w:pPr>
        <w:pStyle w:val="Heading1"/>
        <w:pBdr>
          <w:bottom w:val="single" w:sz="4" w:space="4" w:color="4F46E5"/>
        </w:pBdr>
      </w:pPr>
      <w:r>
        <w:t>21. ROZHODNÉ PRÁVO A SPORY</w:t>
      </w:r>
    </w:p>
    <w:p>
      <w:pPr>
        <w:pStyle w:val="Heading2"/>
      </w:pPr>
      <w:r>
        <w:t>21.1 Rozhodné právo</w:t>
      </w:r>
    </w:p>
    <w:p>
      <w:pPr>
        <w:keepNext w:val="0"/>
        <w:widowControl/>
        <w:jc w:val="both"/>
      </w:pPr>
      <w:r>
        <w:rPr>
          <w:rFonts w:ascii="Calibri" w:hAnsi="Calibri" w:cs="Calibri"/>
          <w:i w:val="0"/>
          <w:color w:val="1A1A2E"/>
          <w:sz w:val="22"/>
        </w:rPr>
        <w:t>Zmluva sa riadi právnym poriadkom Slovenskej republiky, najmä zákonom č. 513/1991 Zb. Obchodný zákonník. Strany ju uzatvárajú ako zmluvu podľa § 269 ods. 2 Obchodného zákonníka. Kolízne normy a Dohovor OSN o zmluvách o medzinárodnej kúpe tovaru sa neuplatnia.</w:t>
      </w:r>
    </w:p>
    <w:p>
      <w:pPr>
        <w:pStyle w:val="Heading2"/>
      </w:pPr>
      <w:r>
        <w:t>21.2 Rokovanie a súdy</w:t>
      </w:r>
    </w:p>
    <w:p>
      <w:pPr>
        <w:keepNext w:val="0"/>
        <w:widowControl/>
        <w:jc w:val="both"/>
      </w:pPr>
      <w:r>
        <w:rPr>
          <w:rFonts w:ascii="Calibri" w:hAnsi="Calibri" w:cs="Calibri"/>
          <w:i w:val="0"/>
          <w:color w:val="1A1A2E"/>
          <w:sz w:val="22"/>
        </w:rPr>
        <w:t>Pred začatím súdneho sporu sa strany pokúsia spor vyriešiť rokovaním oprávnených zástupcov aspoň 30 dní od písomného oznámenia sporu, ak hrozba ujmy alebo premlčania nevyžaduje rýchlejší postup.</w:t>
      </w:r>
    </w:p>
    <w:p>
      <w:pPr>
        <w:keepNext w:val="0"/>
        <w:widowControl/>
        <w:jc w:val="both"/>
      </w:pPr>
      <w:r>
        <w:rPr>
          <w:rFonts w:ascii="Calibri" w:hAnsi="Calibri" w:cs="Calibri"/>
          <w:i w:val="0"/>
          <w:color w:val="1A1A2E"/>
          <w:sz w:val="22"/>
        </w:rPr>
        <w:t>Na rozhodovanie sporov sú príslušné vecne a miestne príslušné súdy Slovenskej republiky. V rozsahu dovolenom procesným právom sa strany dohodli na miestnej príslušnosti súdu podľa sídla Poskytovateľa.</w:t>
      </w:r>
    </w:p>
    <w:p>
      <w:pPr>
        <w:pStyle w:val="Heading2"/>
      </w:pPr>
      <w:r>
        <w:t>21.3 Spotrebiteľské mechanizmy</w:t>
      </w:r>
    </w:p>
    <w:p>
      <w:pPr>
        <w:keepNext w:val="0"/>
        <w:widowControl/>
        <w:jc w:val="both"/>
      </w:pPr>
      <w:r>
        <w:rPr>
          <w:rFonts w:ascii="Calibri" w:hAnsi="Calibri" w:cs="Calibri"/>
          <w:i w:val="0"/>
          <w:color w:val="1A1A2E"/>
          <w:sz w:val="22"/>
        </w:rPr>
        <w:t>Keďže Služba je podľa článku 1.2 určená výlučne pre podnikateľov a profesionálne použitie, ustanovenia o odstúpení spotrebiteľa, alternatívnom riešení spotrebiteľských sporov a iné osobitné spotrebiteľské ochranné mechanizmy sa na Zmluvu neuplatnia.</w:t>
      </w:r>
    </w:p>
    <w:p>
      <w:pPr>
        <w:pStyle w:val="Heading1"/>
        <w:pBdr>
          <w:bottom w:val="single" w:sz="4" w:space="4" w:color="4F46E5"/>
        </w:pBdr>
      </w:pPr>
      <w:r>
        <w:t>22. ZÁVEREČNÉ USTANOVENIA</w:t>
      </w:r>
    </w:p>
    <w:p>
      <w:pPr>
        <w:pStyle w:val="Heading2"/>
      </w:pPr>
      <w:r>
        <w:t>22.1 Celá Zmluva a poradie dokumentov</w:t>
      </w:r>
    </w:p>
    <w:p>
      <w:pPr>
        <w:keepNext w:val="0"/>
        <w:widowControl/>
        <w:jc w:val="both"/>
      </w:pPr>
      <w:r>
        <w:rPr>
          <w:rFonts w:ascii="Calibri" w:hAnsi="Calibri" w:cs="Calibri"/>
          <w:i w:val="0"/>
          <w:color w:val="1A1A2E"/>
          <w:sz w:val="22"/>
        </w:rPr>
        <w:t>Zmluva predstavuje úplnú dohodu o Službe. Pri rozpore sa uplatní toto poradie: (a) individuálna rámcová zmluva alebo podpísaná Objednávka, (b) DPA pre otázky spracúvania osobných údajov, (c) SLA pre dostupnosť a podporu, (d) Objednávka v ostatnom rozsahu, (e) tieto Podmienky a (f) Dokumentácia a Cenník. Neskorší dokument má prednosť pred skorším iba v rozsahu výslovného rozporu.</w:t>
      </w:r>
    </w:p>
    <w:p>
      <w:pPr>
        <w:pStyle w:val="Heading2"/>
      </w:pPr>
      <w:r>
        <w:t>22.2 Oddeliteľnosť a výklad</w:t>
      </w:r>
    </w:p>
    <w:p>
      <w:pPr>
        <w:keepNext w:val="0"/>
        <w:widowControl/>
        <w:jc w:val="both"/>
      </w:pPr>
      <w:r>
        <w:rPr>
          <w:rFonts w:ascii="Calibri" w:hAnsi="Calibri" w:cs="Calibri"/>
          <w:i w:val="0"/>
          <w:color w:val="1A1A2E"/>
          <w:sz w:val="22"/>
        </w:rPr>
        <w:t>Neplatnosť alebo nevymáhateľnosť časti Zmluvy neovplyvňuje ostatné ustanovenia. Strany ju nahradia platným ustanovením, ktoré sa čo najviac približuje hospodárskemu účelu. Nadpisy slúžia na orientáciu. Pojmy v jednotnom čísle zahŕňajú množné číslo podľa kontextu.</w:t>
      </w:r>
    </w:p>
    <w:p>
      <w:pPr>
        <w:pStyle w:val="Heading2"/>
      </w:pPr>
      <w:r>
        <w:t>22.3 Nevzdanie sa práva</w:t>
      </w:r>
    </w:p>
    <w:p>
      <w:pPr>
        <w:keepNext w:val="0"/>
        <w:widowControl/>
        <w:jc w:val="both"/>
      </w:pPr>
      <w:r>
        <w:rPr>
          <w:rFonts w:ascii="Calibri" w:hAnsi="Calibri" w:cs="Calibri"/>
          <w:i w:val="0"/>
          <w:color w:val="1A1A2E"/>
          <w:sz w:val="22"/>
        </w:rPr>
        <w:t>Nevykonanie alebo oneskorené vykonanie práva neznamená vzdanie sa práva. Vzdanie sa musí byť výslovné a týka sa len konkrétneho prípadu.</w:t>
      </w:r>
    </w:p>
    <w:p>
      <w:pPr>
        <w:pStyle w:val="Heading2"/>
      </w:pPr>
      <w:r>
        <w:t>22.4 Postúpenie</w:t>
      </w:r>
    </w:p>
    <w:p>
      <w:pPr>
        <w:keepNext w:val="0"/>
        <w:widowControl/>
        <w:jc w:val="both"/>
      </w:pPr>
      <w:r>
        <w:rPr>
          <w:rFonts w:ascii="Calibri" w:hAnsi="Calibri" w:cs="Calibri"/>
          <w:i w:val="0"/>
          <w:color w:val="1A1A2E"/>
          <w:sz w:val="22"/>
        </w:rPr>
        <w:t>Zákazník nesmie bez predchádzajúceho písomného súhlasu postúpiť Zmluvu ani podstatnú časť práv a povinností. Poskytovateľ môže Zmluvu postúpiť prepojenej osobe alebo právnemu nástupcovi pri zlúčení, premene alebo prevode podstatnej časti podnikania, ak tým podstatne nezníži práva Zákazníka.</w:t>
      </w:r>
    </w:p>
    <w:p>
      <w:pPr>
        <w:pStyle w:val="Heading2"/>
      </w:pPr>
      <w:r>
        <w:t>22.5 Subdodávatelia</w:t>
      </w:r>
    </w:p>
    <w:p>
      <w:pPr>
        <w:keepNext w:val="0"/>
        <w:widowControl/>
        <w:jc w:val="both"/>
      </w:pPr>
      <w:r>
        <w:rPr>
          <w:rFonts w:ascii="Calibri" w:hAnsi="Calibri" w:cs="Calibri"/>
          <w:i w:val="0"/>
          <w:color w:val="1A1A2E"/>
          <w:sz w:val="22"/>
        </w:rPr>
        <w:t>Poskytovateľ môže plniť prostredníctvom subdodávateľov, zostáva však zodpovedný za ich plnenie ako za svoje, ak Zmluva alebo kogentné právo neurčuje inak. Spracúvanie osobných údajov subdodávateľmi sa riadi DPA.</w:t>
      </w:r>
    </w:p>
    <w:p>
      <w:pPr>
        <w:pStyle w:val="Heading2"/>
      </w:pPr>
      <w:r>
        <w:t>22.6 Vyššia moc</w:t>
      </w:r>
    </w:p>
    <w:p>
      <w:pPr>
        <w:keepNext w:val="0"/>
        <w:widowControl/>
        <w:jc w:val="both"/>
      </w:pPr>
      <w:r>
        <w:rPr>
          <w:rFonts w:ascii="Calibri" w:hAnsi="Calibri" w:cs="Calibri"/>
          <w:i w:val="0"/>
          <w:color w:val="1A1A2E"/>
          <w:sz w:val="22"/>
        </w:rPr>
        <w:t>Strana nezodpovedá za omeškanie spôsobené mimoriadnou nepredvídateľnou a neodvrátiteľnou prekážkou mimo jej primeranej kontroly, najmä rozsiahlym výpadkom infraštruktúry, útokom, prírodnou udalosťou, vojnou, rozhodnutím orgánu alebo výpadkom kritického dodávateľa. Dotknutá strana primerane informuje druhú stranu a zmierňuje následky. Vyššia moc neoslobodzuje od úhrady už poskytnutej Služby.</w:t>
      </w:r>
    </w:p>
    <w:p>
      <w:pPr>
        <w:pStyle w:val="Heading2"/>
      </w:pPr>
      <w:r>
        <w:t>22.7 Nezávislé strany</w:t>
      </w:r>
    </w:p>
    <w:p>
      <w:pPr>
        <w:keepNext w:val="0"/>
        <w:widowControl/>
        <w:jc w:val="both"/>
      </w:pPr>
      <w:r>
        <w:rPr>
          <w:rFonts w:ascii="Calibri" w:hAnsi="Calibri" w:cs="Calibri"/>
          <w:i w:val="0"/>
          <w:color w:val="1A1A2E"/>
          <w:sz w:val="22"/>
        </w:rPr>
        <w:t>Strany sú nezávislí zmluvní partneri. Zmluva nevytvára zastúpenie, pracovný pomer, spoločný podnik ani partnerstvo a žiadna strana nemôže zaväzovať druhú bez výslovného oprávnenia.</w:t>
      </w:r>
    </w:p>
    <w:p>
      <w:pPr>
        <w:pStyle w:val="Heading2"/>
      </w:pPr>
      <w:r>
        <w:t>22.8 Jazyk</w:t>
      </w:r>
    </w:p>
    <w:p>
      <w:pPr>
        <w:keepNext w:val="0"/>
        <w:widowControl/>
        <w:jc w:val="both"/>
      </w:pPr>
      <w:r>
        <w:rPr>
          <w:rFonts w:ascii="Calibri" w:hAnsi="Calibri" w:cs="Calibri"/>
          <w:i w:val="0"/>
          <w:color w:val="1A1A2E"/>
          <w:sz w:val="22"/>
        </w:rPr>
        <w:t>Záväznou verziou Podmienok je slovenská verzia. Preklad má informatívny charakter, ak Objednávka výslovne neurčuje inak.</w:t>
      </w:r>
    </w:p>
    <w:p>
      <w:r>
        <w:br w:type="page"/>
      </w:r>
    </w:p>
    <w:p>
      <w:pPr>
        <w:pStyle w:val="Heading1"/>
        <w:pBdr>
          <w:bottom w:val="single" w:sz="4" w:space="4" w:color="4F46E5"/>
        </w:pBdr>
      </w:pPr>
      <w:r>
        <w:t>23. POSKYTOVATEĽ A KONTAKT</w:t>
      </w:r>
    </w:p>
    <w:p>
      <w:pPr>
        <w:keepNext w:val="0"/>
        <w:widowControl/>
        <w:jc w:val="left"/>
      </w:pPr>
      <w:r>
        <w:rPr>
          <w:rFonts w:ascii="Calibri" w:hAnsi="Calibri" w:cs="Calibri"/>
          <w:b/>
          <w:color w:val="1A1A2E"/>
          <w:sz w:val="22"/>
        </w:rPr>
        <w:t xml:space="preserve">Obchodné meno: </w:t>
      </w:r>
      <w:r>
        <w:rPr>
          <w:rFonts w:ascii="Calibri" w:hAnsi="Calibri" w:cs="Calibri"/>
          <w:color w:val="1A1A2E"/>
          <w:sz w:val="22"/>
        </w:rPr>
        <w:t>CREALAB s.r.o.</w:t>
      </w:r>
    </w:p>
    <w:p>
      <w:pPr>
        <w:keepNext w:val="0"/>
        <w:widowControl/>
        <w:jc w:val="left"/>
      </w:pPr>
      <w:r>
        <w:rPr>
          <w:rFonts w:ascii="Calibri" w:hAnsi="Calibri" w:cs="Calibri"/>
          <w:b/>
          <w:color w:val="1A1A2E"/>
          <w:sz w:val="22"/>
        </w:rPr>
        <w:t xml:space="preserve">Sídlo: </w:t>
      </w:r>
      <w:r>
        <w:rPr>
          <w:rFonts w:ascii="Calibri" w:hAnsi="Calibri" w:cs="Calibri"/>
          <w:color w:val="1A1A2E"/>
          <w:sz w:val="22"/>
        </w:rPr>
        <w:t>Terézie Vansovej 1167/1, 050 01 Revúca, Slovenská republika</w:t>
      </w:r>
    </w:p>
    <w:p>
      <w:pPr>
        <w:keepNext w:val="0"/>
        <w:widowControl/>
        <w:jc w:val="left"/>
      </w:pPr>
      <w:r>
        <w:rPr>
          <w:rFonts w:ascii="Calibri" w:hAnsi="Calibri" w:cs="Calibri"/>
          <w:b/>
          <w:color w:val="1A1A2E"/>
          <w:sz w:val="22"/>
        </w:rPr>
        <w:t xml:space="preserve">IČO: </w:t>
      </w:r>
      <w:r>
        <w:rPr>
          <w:rFonts w:ascii="Calibri" w:hAnsi="Calibri" w:cs="Calibri"/>
          <w:color w:val="1A1A2E"/>
          <w:sz w:val="22"/>
        </w:rPr>
        <w:t>50 156 896</w:t>
      </w:r>
    </w:p>
    <w:p>
      <w:pPr>
        <w:keepNext w:val="0"/>
        <w:widowControl/>
        <w:jc w:val="left"/>
      </w:pPr>
      <w:r>
        <w:rPr>
          <w:rFonts w:ascii="Calibri" w:hAnsi="Calibri" w:cs="Calibri"/>
          <w:b/>
          <w:color w:val="1A1A2E"/>
          <w:sz w:val="22"/>
        </w:rPr>
        <w:t xml:space="preserve">DIČ: </w:t>
      </w:r>
      <w:r>
        <w:rPr>
          <w:rFonts w:ascii="Calibri" w:hAnsi="Calibri" w:cs="Calibri"/>
          <w:color w:val="1A1A2E"/>
          <w:sz w:val="22"/>
        </w:rPr>
        <w:t>2120193977</w:t>
      </w:r>
    </w:p>
    <w:p>
      <w:pPr>
        <w:keepNext w:val="0"/>
        <w:widowControl/>
        <w:jc w:val="left"/>
      </w:pPr>
      <w:r>
        <w:rPr>
          <w:rFonts w:ascii="Calibri" w:hAnsi="Calibri" w:cs="Calibri"/>
          <w:b/>
          <w:color w:val="1A1A2E"/>
          <w:sz w:val="22"/>
        </w:rPr>
        <w:t xml:space="preserve">IČ DPH: </w:t>
      </w:r>
      <w:r>
        <w:rPr>
          <w:rFonts w:ascii="Calibri" w:hAnsi="Calibri" w:cs="Calibri"/>
          <w:color w:val="1A1A2E"/>
          <w:sz w:val="22"/>
        </w:rPr>
        <w:t>SK2120193977</w:t>
      </w:r>
    </w:p>
    <w:p>
      <w:pPr>
        <w:keepNext w:val="0"/>
        <w:widowControl/>
        <w:jc w:val="left"/>
      </w:pPr>
      <w:r>
        <w:rPr>
          <w:rFonts w:ascii="Calibri" w:hAnsi="Calibri" w:cs="Calibri"/>
          <w:b/>
          <w:color w:val="1A1A2E"/>
          <w:sz w:val="22"/>
        </w:rPr>
        <w:t xml:space="preserve">Zápis v registri: </w:t>
      </w:r>
      <w:r>
        <w:rPr>
          <w:rFonts w:ascii="Calibri" w:hAnsi="Calibri" w:cs="Calibri"/>
          <w:color w:val="1A1A2E"/>
          <w:sz w:val="22"/>
        </w:rPr>
        <w:t>Obchodný register Okresného súdu Banská Bystrica, oddiel Sro, vložka číslo 29215/S</w:t>
      </w:r>
    </w:p>
    <w:p>
      <w:pPr>
        <w:keepNext w:val="0"/>
        <w:widowControl/>
        <w:jc w:val="left"/>
      </w:pPr>
      <w:r>
        <w:rPr>
          <w:rFonts w:ascii="Calibri" w:hAnsi="Calibri" w:cs="Calibri"/>
          <w:b/>
          <w:color w:val="1A1A2E"/>
          <w:sz w:val="22"/>
        </w:rPr>
        <w:t xml:space="preserve">Právne oznámenia a podpora: </w:t>
      </w:r>
      <w:r>
        <w:rPr>
          <w:rFonts w:ascii="Calibri" w:hAnsi="Calibri" w:cs="Calibri"/>
          <w:color w:val="1A1A2E"/>
          <w:sz w:val="22"/>
        </w:rPr>
        <w:t>support@reevals.com</w:t>
      </w:r>
    </w:p>
    <w:p>
      <w:pPr>
        <w:keepNext w:val="0"/>
        <w:widowControl/>
        <w:jc w:val="left"/>
      </w:pPr>
      <w:r>
        <w:rPr>
          <w:rFonts w:ascii="Calibri" w:hAnsi="Calibri" w:cs="Calibri"/>
          <w:b/>
          <w:color w:val="1A1A2E"/>
          <w:sz w:val="22"/>
        </w:rPr>
        <w:t xml:space="preserve">Obchodný kontakt: </w:t>
      </w:r>
      <w:r>
        <w:rPr>
          <w:rFonts w:ascii="Calibri" w:hAnsi="Calibri" w:cs="Calibri"/>
          <w:color w:val="1A1A2E"/>
          <w:sz w:val="22"/>
        </w:rPr>
        <w:t>contact@reevals.com</w:t>
      </w:r>
    </w:p>
    <w:p>
      <w:pPr>
        <w:keepNext w:val="0"/>
        <w:widowControl/>
        <w:jc w:val="left"/>
      </w:pPr>
      <w:r>
        <w:rPr>
          <w:rFonts w:ascii="Calibri" w:hAnsi="Calibri" w:cs="Calibri"/>
          <w:b/>
          <w:color w:val="1A1A2E"/>
          <w:sz w:val="22"/>
        </w:rPr>
        <w:t xml:space="preserve">Web a Služba: </w:t>
      </w:r>
      <w:r>
        <w:rPr>
          <w:rFonts w:ascii="Calibri" w:hAnsi="Calibri" w:cs="Calibri"/>
          <w:color w:val="1A1A2E"/>
          <w:sz w:val="22"/>
        </w:rPr>
        <w:t>https://www.reevals.com</w:t>
      </w:r>
    </w:p>
    <w:p>
      <w:pPr>
        <w:keepNext w:val="0"/>
        <w:widowControl/>
        <w:jc w:val="left"/>
      </w:pPr>
      <w:r>
        <w:rPr>
          <w:rFonts w:ascii="Calibri" w:hAnsi="Calibri" w:cs="Calibri"/>
          <w:b/>
          <w:color w:val="1A1A2E"/>
          <w:sz w:val="22"/>
        </w:rPr>
        <w:t xml:space="preserve">Zásady ochrany osobných údajov: </w:t>
      </w:r>
      <w:r>
        <w:rPr>
          <w:rFonts w:ascii="Calibri" w:hAnsi="Calibri" w:cs="Calibri"/>
          <w:color w:val="1A1A2E"/>
          <w:sz w:val="22"/>
        </w:rPr>
        <w:t>https://www.reevals.com/privacy</w:t>
      </w:r>
    </w:p>
    <w:p>
      <w:pPr>
        <w:keepNext w:val="0"/>
        <w:widowControl/>
        <w:jc w:val="left"/>
      </w:pPr>
      <w:r>
        <w:rPr>
          <w:rFonts w:ascii="Calibri" w:hAnsi="Calibri" w:cs="Calibri"/>
          <w:b/>
          <w:color w:val="1A1A2E"/>
          <w:sz w:val="22"/>
        </w:rPr>
        <w:t xml:space="preserve">Zásady používania cookies: </w:t>
      </w:r>
      <w:r>
        <w:rPr>
          <w:rFonts w:ascii="Calibri" w:hAnsi="Calibri" w:cs="Calibri"/>
          <w:color w:val="1A1A2E"/>
          <w:sz w:val="22"/>
        </w:rPr>
        <w:t>https://www.reevals.com/cookies</w:t>
      </w:r>
    </w:p>
    <w:p>
      <w:pPr>
        <w:keepNext w:val="0"/>
        <w:widowControl/>
        <w:jc w:val="left"/>
      </w:pPr>
      <w:r>
        <w:rPr>
          <w:rFonts w:ascii="Calibri" w:hAnsi="Calibri" w:cs="Calibri"/>
          <w:b/>
          <w:color w:val="1A1A2E"/>
          <w:sz w:val="22"/>
        </w:rPr>
        <w:t xml:space="preserve">DPA: </w:t>
      </w:r>
      <w:r>
        <w:rPr>
          <w:rFonts w:ascii="Calibri" w:hAnsi="Calibri" w:cs="Calibri"/>
          <w:color w:val="1A1A2E"/>
          <w:sz w:val="22"/>
        </w:rPr>
        <w:t>https://www.reevals.com/data-processing-agreement</w:t>
      </w:r>
    </w:p>
    <w:p>
      <w:pPr>
        <w:spacing w:before="360" w:after="60"/>
        <w:jc w:val="center"/>
      </w:pPr>
      <w:r>
        <w:rPr>
          <w:rFonts w:ascii="Calibri" w:hAnsi="Calibri" w:cs="Calibri"/>
          <w:i/>
          <w:color w:val="666666"/>
          <w:sz w:val="20"/>
        </w:rPr>
        <w:t>Tieto Podmienky nadobúdajú účinnosť dňa 25. augusta 2026.</w:t>
      </w:r>
    </w:p>
    <w:p>
      <w:pPr>
        <w:jc w:val="center"/>
      </w:pPr>
      <w:r>
        <w:rPr>
          <w:rFonts w:ascii="Calibri" w:hAnsi="Calibri" w:cs="Calibri"/>
          <w:i/>
          <w:color w:val="666666"/>
          <w:sz w:val="20"/>
        </w:rPr>
        <w:t>© 2026 CREALAB s.r.o. – všetky práva vyhradené.</w:t>
      </w:r>
    </w:p>
    <w:sectPr w:rsidR="00FC693F" w:rsidRPr="0006063C" w:rsidSect="00034616">
      <w:footerReference w:type="default" r:id="rId9"/>
      <w:pgSz w:w="11906" w:h="16838"/>
      <w:pgMar w:top="1417" w:right="1729" w:bottom="1417" w:left="1729"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Calibri" w:hAnsi="Calibri" w:cs="Calibri"/>
        <w:color w:val="666666"/>
        <w:sz w:val="18"/>
      </w:rPr>
      <w:t xml:space="preserve">Strana </w:t>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76" w:lineRule="auto"/>
    </w:pPr>
    <w:rPr>
      <w:rFonts w:ascii="Calibri" w:hAnsi="Calibri"/>
      <w:color w:val="1A1A2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b/>
      <w:bCs/>
      <w:color w:val="1A1A2E"/>
      <w:sz w:val="26"/>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Calibri" w:hAnsi="Calibri"/>
      <w:b/>
      <w:bCs/>
      <w:color w:val="4F46E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40" w:after="60" w:line="276" w:lineRule="auto"/>
      <w:ind w:left="425" w:hanging="198"/>
      <w:contextualSpacing/>
    </w:pPr>
    <w:rPr>
      <w:rFonts w:ascii="Calibri" w:hAnsi="Calibri"/>
      <w:color w:val="1A1A2E"/>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evalsCallout">
    <w:name w:val="Reevals Callout"/>
    <w:pPr>
      <w:spacing w:before="40" w:after="40" w:line="264" w:lineRule="auto"/>
      <w:ind w:left="125" w:right="125"/>
    </w:pPr>
    <w:rPr>
      <w:rFonts w:ascii="Calibri" w:hAnsi="Calibri"/>
      <w:color w:val="8A4B08"/>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Podmienky používania služby Reevals</dc:title>
  <dc:subject>B2B SaaS podmienky používania</dc:subject>
  <dc:creator>CREALAB s.r.o.</dc:creator>
  <cp:keywords>Reevals, SaaS, podmienky používania, B2B</cp:keywords>
  <dc:description>generated by python-docx</dc:description>
  <cp:lastModifiedBy/>
  <cp:revision>1</cp:revision>
  <dcterms:created xsi:type="dcterms:W3CDTF">2013-12-23T23:15:00Z</dcterms:created>
  <dcterms:modified xsi:type="dcterms:W3CDTF">2013-12-23T23:15:00Z</dcterms:modified>
  <cp:category/>
</cp:coreProperties>
</file>